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DC1A" w14:textId="77777777" w:rsidR="00872C42" w:rsidRPr="00A51745" w:rsidRDefault="00872C42" w:rsidP="00CC626A">
      <w:pPr>
        <w:tabs>
          <w:tab w:val="left" w:pos="284"/>
        </w:tabs>
        <w:jc w:val="both"/>
        <w:rPr>
          <w:rFonts w:ascii="Arial Narrow" w:hAnsi="Arial Narrow"/>
          <w:b/>
          <w:bCs/>
          <w:sz w:val="24"/>
          <w:szCs w:val="24"/>
        </w:rPr>
      </w:pPr>
    </w:p>
    <w:p w14:paraId="253B01BA" w14:textId="77777777" w:rsidR="00912B28" w:rsidRPr="00A51745" w:rsidRDefault="00912B28" w:rsidP="00CC626A">
      <w:pPr>
        <w:tabs>
          <w:tab w:val="left" w:pos="284"/>
        </w:tabs>
        <w:jc w:val="both"/>
        <w:rPr>
          <w:rFonts w:ascii="Arial Narrow" w:hAnsi="Arial Narrow"/>
          <w:b/>
          <w:bCs/>
          <w:sz w:val="24"/>
          <w:szCs w:val="24"/>
        </w:rPr>
      </w:pPr>
    </w:p>
    <w:p w14:paraId="63BE077F" w14:textId="77777777" w:rsidR="00912B28" w:rsidRPr="00A51745" w:rsidRDefault="00912B28" w:rsidP="00CC626A">
      <w:pPr>
        <w:tabs>
          <w:tab w:val="left" w:pos="284"/>
        </w:tabs>
        <w:jc w:val="both"/>
        <w:rPr>
          <w:rFonts w:ascii="Arial Narrow" w:hAnsi="Arial Narrow"/>
          <w:b/>
          <w:bCs/>
          <w:sz w:val="24"/>
          <w:szCs w:val="24"/>
        </w:rPr>
      </w:pPr>
    </w:p>
    <w:p w14:paraId="0C32858E" w14:textId="77777777" w:rsidR="00912B28" w:rsidRPr="00A51745" w:rsidRDefault="00912B28" w:rsidP="00CC626A">
      <w:pPr>
        <w:tabs>
          <w:tab w:val="left" w:pos="284"/>
        </w:tabs>
        <w:jc w:val="both"/>
        <w:rPr>
          <w:rFonts w:ascii="Arial Narrow" w:hAnsi="Arial Narrow"/>
          <w:b/>
          <w:bCs/>
          <w:sz w:val="24"/>
          <w:szCs w:val="24"/>
        </w:rPr>
      </w:pPr>
    </w:p>
    <w:p w14:paraId="093A5A14" w14:textId="77777777" w:rsidR="00912B28" w:rsidRPr="00A51745" w:rsidRDefault="00912B28" w:rsidP="00CC626A">
      <w:pPr>
        <w:tabs>
          <w:tab w:val="left" w:pos="284"/>
        </w:tabs>
        <w:jc w:val="both"/>
        <w:rPr>
          <w:rFonts w:ascii="Arial Narrow" w:hAnsi="Arial Narrow"/>
          <w:b/>
          <w:bCs/>
          <w:sz w:val="24"/>
          <w:szCs w:val="24"/>
        </w:rPr>
      </w:pPr>
    </w:p>
    <w:p w14:paraId="1E9E5B4E" w14:textId="77777777" w:rsidR="00912B28" w:rsidRPr="00A51745" w:rsidRDefault="00912B28" w:rsidP="00CC626A">
      <w:pPr>
        <w:tabs>
          <w:tab w:val="left" w:pos="284"/>
        </w:tabs>
        <w:jc w:val="both"/>
        <w:rPr>
          <w:rFonts w:ascii="Arial Narrow" w:hAnsi="Arial Narrow"/>
          <w:b/>
          <w:bCs/>
          <w:sz w:val="24"/>
          <w:szCs w:val="24"/>
        </w:rPr>
      </w:pPr>
    </w:p>
    <w:p w14:paraId="3C216EFE" w14:textId="77777777" w:rsidR="00912B28" w:rsidRPr="00A51745" w:rsidRDefault="00912B28" w:rsidP="00CC626A">
      <w:pPr>
        <w:tabs>
          <w:tab w:val="left" w:pos="284"/>
        </w:tabs>
        <w:jc w:val="both"/>
        <w:rPr>
          <w:rFonts w:ascii="Arial Narrow" w:hAnsi="Arial Narrow"/>
          <w:b/>
          <w:bCs/>
          <w:sz w:val="24"/>
          <w:szCs w:val="24"/>
        </w:rPr>
      </w:pPr>
    </w:p>
    <w:p w14:paraId="3B616C9A" w14:textId="1FDB641F" w:rsidR="00912B28" w:rsidRPr="007B0B9D" w:rsidRDefault="00912B28" w:rsidP="000B1E46">
      <w:pPr>
        <w:tabs>
          <w:tab w:val="left" w:pos="284"/>
        </w:tabs>
        <w:spacing w:line="480" w:lineRule="auto"/>
        <w:jc w:val="center"/>
        <w:rPr>
          <w:rFonts w:ascii="Arial Narrow" w:hAnsi="Arial Narrow"/>
          <w:b/>
          <w:bCs/>
          <w:sz w:val="60"/>
          <w:szCs w:val="60"/>
        </w:rPr>
      </w:pPr>
      <w:r w:rsidRPr="007B0B9D">
        <w:rPr>
          <w:rFonts w:ascii="Arial Narrow" w:hAnsi="Arial Narrow"/>
          <w:b/>
          <w:bCs/>
          <w:sz w:val="60"/>
          <w:szCs w:val="60"/>
        </w:rPr>
        <w:t>Gestão de Riscos</w:t>
      </w:r>
    </w:p>
    <w:p w14:paraId="69ABCDD4" w14:textId="3AA357B6" w:rsidR="00912B28" w:rsidRPr="007B0B9D" w:rsidRDefault="000A6B72" w:rsidP="000B1E46">
      <w:pPr>
        <w:tabs>
          <w:tab w:val="left" w:pos="284"/>
        </w:tabs>
        <w:spacing w:line="480" w:lineRule="auto"/>
        <w:jc w:val="center"/>
        <w:rPr>
          <w:rFonts w:ascii="Arial Narrow" w:hAnsi="Arial Narrow"/>
          <w:b/>
          <w:bCs/>
          <w:sz w:val="60"/>
          <w:szCs w:val="60"/>
        </w:rPr>
      </w:pPr>
      <w:r w:rsidRPr="007B0B9D">
        <w:rPr>
          <w:rFonts w:ascii="Arial Narrow" w:hAnsi="Arial Narrow"/>
          <w:b/>
          <w:bCs/>
          <w:sz w:val="60"/>
          <w:szCs w:val="60"/>
        </w:rPr>
        <w:t xml:space="preserve">abrdn </w:t>
      </w:r>
      <w:r w:rsidR="00912B28" w:rsidRPr="007B0B9D">
        <w:rPr>
          <w:rFonts w:ascii="Arial Narrow" w:hAnsi="Arial Narrow"/>
          <w:b/>
          <w:bCs/>
          <w:sz w:val="60"/>
          <w:szCs w:val="60"/>
        </w:rPr>
        <w:t xml:space="preserve"> Brasil </w:t>
      </w:r>
      <w:r w:rsidRPr="007B0B9D">
        <w:rPr>
          <w:rFonts w:ascii="Arial Narrow" w:hAnsi="Arial Narrow"/>
          <w:b/>
          <w:bCs/>
          <w:sz w:val="60"/>
          <w:szCs w:val="60"/>
        </w:rPr>
        <w:t>Investimentos</w:t>
      </w:r>
      <w:r w:rsidR="00912B28" w:rsidRPr="007B0B9D">
        <w:rPr>
          <w:rFonts w:ascii="Arial Narrow" w:hAnsi="Arial Narrow"/>
          <w:b/>
          <w:bCs/>
          <w:sz w:val="60"/>
          <w:szCs w:val="60"/>
        </w:rPr>
        <w:t xml:space="preserve"> LTDA</w:t>
      </w:r>
    </w:p>
    <w:p w14:paraId="1E2DE2B8" w14:textId="77777777" w:rsidR="00912B28" w:rsidRPr="00A51745" w:rsidRDefault="00912B28" w:rsidP="000B1E46">
      <w:pPr>
        <w:tabs>
          <w:tab w:val="left" w:pos="284"/>
        </w:tabs>
        <w:jc w:val="center"/>
        <w:rPr>
          <w:rFonts w:ascii="Arial Narrow" w:hAnsi="Arial Narrow"/>
          <w:b/>
          <w:bCs/>
          <w:sz w:val="24"/>
          <w:szCs w:val="24"/>
        </w:rPr>
      </w:pPr>
    </w:p>
    <w:p w14:paraId="615F6F3A" w14:textId="77777777" w:rsidR="00912B28" w:rsidRPr="00A51745" w:rsidRDefault="00912B28" w:rsidP="000B1E46">
      <w:pPr>
        <w:tabs>
          <w:tab w:val="left" w:pos="284"/>
        </w:tabs>
        <w:jc w:val="center"/>
        <w:rPr>
          <w:rFonts w:ascii="Arial Narrow" w:hAnsi="Arial Narrow"/>
          <w:b/>
          <w:bCs/>
          <w:sz w:val="24"/>
          <w:szCs w:val="24"/>
        </w:rPr>
      </w:pPr>
    </w:p>
    <w:p w14:paraId="6DC8F75D" w14:textId="7E89877A" w:rsidR="00912B28" w:rsidRPr="00A51745" w:rsidRDefault="00912B28" w:rsidP="00912B28">
      <w:pPr>
        <w:spacing w:line="276" w:lineRule="auto"/>
        <w:jc w:val="center"/>
        <w:rPr>
          <w:rFonts w:ascii="Arial Narrow" w:hAnsi="Arial Narrow" w:cs="Arial"/>
          <w:b/>
          <w:sz w:val="44"/>
          <w:szCs w:val="48"/>
        </w:rPr>
      </w:pPr>
      <w:r w:rsidRPr="00A51745">
        <w:rPr>
          <w:rFonts w:ascii="Arial Narrow" w:hAnsi="Arial Narrow" w:cs="Arial"/>
        </w:rPr>
        <w:t>Revisão: Anual ou quando há mudanças significativas</w:t>
      </w:r>
    </w:p>
    <w:p w14:paraId="3E9CBDE5" w14:textId="77777777" w:rsidR="00912B28" w:rsidRPr="00A51745" w:rsidRDefault="00912B28" w:rsidP="00CC626A">
      <w:pPr>
        <w:tabs>
          <w:tab w:val="left" w:pos="284"/>
        </w:tabs>
        <w:jc w:val="both"/>
        <w:rPr>
          <w:rFonts w:ascii="Arial Narrow" w:hAnsi="Arial Narrow"/>
          <w:b/>
          <w:bCs/>
          <w:sz w:val="24"/>
          <w:szCs w:val="24"/>
        </w:rPr>
      </w:pPr>
    </w:p>
    <w:p w14:paraId="31E3127D" w14:textId="77777777" w:rsidR="00912B28" w:rsidRPr="00A51745" w:rsidRDefault="00912B28" w:rsidP="00CC626A">
      <w:pPr>
        <w:tabs>
          <w:tab w:val="left" w:pos="284"/>
        </w:tabs>
        <w:jc w:val="both"/>
        <w:rPr>
          <w:rFonts w:ascii="Arial Narrow" w:hAnsi="Arial Narrow"/>
          <w:b/>
          <w:bCs/>
          <w:sz w:val="24"/>
          <w:szCs w:val="24"/>
        </w:rPr>
      </w:pPr>
    </w:p>
    <w:p w14:paraId="23902B23" w14:textId="77777777" w:rsidR="00912B28" w:rsidRPr="00A51745" w:rsidRDefault="00912B28" w:rsidP="00CC626A">
      <w:pPr>
        <w:tabs>
          <w:tab w:val="left" w:pos="284"/>
        </w:tabs>
        <w:jc w:val="both"/>
        <w:rPr>
          <w:rFonts w:ascii="Arial Narrow" w:hAnsi="Arial Narrow"/>
          <w:b/>
          <w:bCs/>
          <w:sz w:val="24"/>
          <w:szCs w:val="24"/>
        </w:rPr>
      </w:pPr>
    </w:p>
    <w:p w14:paraId="6CD3935C" w14:textId="77777777" w:rsidR="00912B28" w:rsidRPr="00A51745" w:rsidRDefault="00912B28" w:rsidP="00CC626A">
      <w:pPr>
        <w:tabs>
          <w:tab w:val="left" w:pos="284"/>
        </w:tabs>
        <w:jc w:val="both"/>
        <w:rPr>
          <w:rFonts w:ascii="Arial Narrow" w:hAnsi="Arial Narrow"/>
          <w:b/>
          <w:bCs/>
          <w:sz w:val="24"/>
          <w:szCs w:val="24"/>
        </w:rPr>
      </w:pPr>
    </w:p>
    <w:p w14:paraId="0BC932BA" w14:textId="77777777" w:rsidR="00912B28" w:rsidRPr="00A51745" w:rsidRDefault="00912B28" w:rsidP="00CC626A">
      <w:pPr>
        <w:tabs>
          <w:tab w:val="left" w:pos="284"/>
        </w:tabs>
        <w:jc w:val="both"/>
        <w:rPr>
          <w:rFonts w:ascii="Arial Narrow" w:hAnsi="Arial Narrow"/>
          <w:b/>
          <w:bCs/>
          <w:sz w:val="24"/>
          <w:szCs w:val="24"/>
        </w:rPr>
      </w:pPr>
    </w:p>
    <w:p w14:paraId="40ABB840" w14:textId="77777777" w:rsidR="00912B28" w:rsidRPr="00A51745" w:rsidRDefault="00912B28" w:rsidP="00CC626A">
      <w:pPr>
        <w:tabs>
          <w:tab w:val="left" w:pos="284"/>
        </w:tabs>
        <w:jc w:val="both"/>
        <w:rPr>
          <w:rFonts w:ascii="Arial Narrow" w:hAnsi="Arial Narrow"/>
          <w:b/>
          <w:bCs/>
          <w:sz w:val="24"/>
          <w:szCs w:val="24"/>
        </w:rPr>
      </w:pPr>
    </w:p>
    <w:p w14:paraId="16C84F50" w14:textId="77777777" w:rsidR="00912B28" w:rsidRPr="00A51745" w:rsidRDefault="00912B28" w:rsidP="00CC626A">
      <w:pPr>
        <w:tabs>
          <w:tab w:val="left" w:pos="284"/>
        </w:tabs>
        <w:jc w:val="both"/>
        <w:rPr>
          <w:rFonts w:ascii="Arial Narrow" w:hAnsi="Arial Narrow"/>
          <w:b/>
          <w:bCs/>
          <w:sz w:val="24"/>
          <w:szCs w:val="24"/>
        </w:rPr>
      </w:pPr>
    </w:p>
    <w:p w14:paraId="1D975E4C" w14:textId="77777777" w:rsidR="00912B28" w:rsidRPr="00A51745" w:rsidRDefault="00912B28" w:rsidP="00CC626A">
      <w:pPr>
        <w:tabs>
          <w:tab w:val="left" w:pos="284"/>
        </w:tabs>
        <w:jc w:val="both"/>
        <w:rPr>
          <w:rFonts w:ascii="Arial Narrow" w:hAnsi="Arial Narrow"/>
          <w:b/>
          <w:bCs/>
          <w:sz w:val="24"/>
          <w:szCs w:val="24"/>
        </w:rPr>
      </w:pPr>
    </w:p>
    <w:p w14:paraId="53093FDB" w14:textId="77777777" w:rsidR="00912B28" w:rsidRPr="00A51745" w:rsidRDefault="00912B28" w:rsidP="00CC626A">
      <w:pPr>
        <w:tabs>
          <w:tab w:val="left" w:pos="284"/>
        </w:tabs>
        <w:jc w:val="both"/>
        <w:rPr>
          <w:rFonts w:ascii="Arial Narrow" w:hAnsi="Arial Narrow"/>
          <w:b/>
          <w:bCs/>
          <w:sz w:val="24"/>
          <w:szCs w:val="24"/>
        </w:rPr>
      </w:pPr>
    </w:p>
    <w:p w14:paraId="24E3A1E2" w14:textId="77777777" w:rsidR="00912B28" w:rsidRPr="00A51745" w:rsidRDefault="00912B28" w:rsidP="00CC626A">
      <w:pPr>
        <w:tabs>
          <w:tab w:val="left" w:pos="284"/>
        </w:tabs>
        <w:jc w:val="both"/>
        <w:rPr>
          <w:rFonts w:ascii="Arial Narrow" w:hAnsi="Arial Narrow"/>
          <w:b/>
          <w:bCs/>
          <w:sz w:val="24"/>
          <w:szCs w:val="24"/>
        </w:rPr>
      </w:pPr>
    </w:p>
    <w:p w14:paraId="4BC60F1A" w14:textId="77777777" w:rsidR="00912B28" w:rsidRPr="00A51745" w:rsidRDefault="00912B28" w:rsidP="00CC626A">
      <w:pPr>
        <w:tabs>
          <w:tab w:val="left" w:pos="284"/>
        </w:tabs>
        <w:jc w:val="both"/>
        <w:rPr>
          <w:rFonts w:ascii="Arial Narrow" w:hAnsi="Arial Narrow"/>
          <w:b/>
          <w:bCs/>
          <w:sz w:val="24"/>
          <w:szCs w:val="24"/>
        </w:rPr>
      </w:pPr>
    </w:p>
    <w:p w14:paraId="083E3489" w14:textId="77777777" w:rsidR="00912B28" w:rsidRPr="00A51745" w:rsidRDefault="00912B28" w:rsidP="00CC626A">
      <w:pPr>
        <w:tabs>
          <w:tab w:val="left" w:pos="284"/>
        </w:tabs>
        <w:jc w:val="both"/>
        <w:rPr>
          <w:rFonts w:ascii="Arial Narrow" w:hAnsi="Arial Narrow"/>
          <w:b/>
          <w:bCs/>
          <w:sz w:val="24"/>
          <w:szCs w:val="24"/>
        </w:rPr>
      </w:pPr>
    </w:p>
    <w:p w14:paraId="55722850" w14:textId="77777777" w:rsidR="00912B28" w:rsidRPr="00A51745" w:rsidRDefault="00912B28" w:rsidP="00CC626A">
      <w:pPr>
        <w:tabs>
          <w:tab w:val="left" w:pos="284"/>
        </w:tabs>
        <w:jc w:val="both"/>
        <w:rPr>
          <w:rFonts w:ascii="Arial Narrow" w:hAnsi="Arial Narrow"/>
          <w:b/>
          <w:bCs/>
          <w:sz w:val="24"/>
          <w:szCs w:val="24"/>
        </w:rPr>
      </w:pPr>
    </w:p>
    <w:p w14:paraId="178155EA" w14:textId="77777777" w:rsidR="00912B28" w:rsidRPr="00A51745" w:rsidRDefault="00912B28" w:rsidP="00CC626A">
      <w:pPr>
        <w:tabs>
          <w:tab w:val="left" w:pos="284"/>
        </w:tabs>
        <w:jc w:val="both"/>
        <w:rPr>
          <w:rFonts w:ascii="Arial Narrow" w:hAnsi="Arial Narrow"/>
          <w:b/>
          <w:bCs/>
          <w:sz w:val="24"/>
          <w:szCs w:val="24"/>
        </w:rPr>
      </w:pPr>
    </w:p>
    <w:p w14:paraId="57C9A51C" w14:textId="77777777" w:rsidR="00912B28" w:rsidRPr="00A51745" w:rsidRDefault="00912B28" w:rsidP="00CC626A">
      <w:pPr>
        <w:tabs>
          <w:tab w:val="left" w:pos="284"/>
        </w:tabs>
        <w:jc w:val="both"/>
        <w:rPr>
          <w:rFonts w:ascii="Arial Narrow" w:hAnsi="Arial Narrow"/>
          <w:b/>
          <w:bCs/>
          <w:sz w:val="24"/>
          <w:szCs w:val="24"/>
        </w:rPr>
      </w:pPr>
    </w:p>
    <w:p w14:paraId="6DCFF85D" w14:textId="77777777" w:rsidR="00912B28" w:rsidRPr="00A51745" w:rsidRDefault="00912B28" w:rsidP="00CC626A">
      <w:pPr>
        <w:tabs>
          <w:tab w:val="left" w:pos="284"/>
        </w:tabs>
        <w:jc w:val="both"/>
        <w:rPr>
          <w:rFonts w:ascii="Arial Narrow" w:hAnsi="Arial Narrow"/>
          <w:b/>
          <w:bCs/>
          <w:sz w:val="24"/>
          <w:szCs w:val="24"/>
        </w:rPr>
      </w:pPr>
    </w:p>
    <w:p w14:paraId="6CB48299" w14:textId="77777777" w:rsidR="00912B28" w:rsidRPr="00A51745" w:rsidRDefault="00912B28" w:rsidP="00CC626A">
      <w:pPr>
        <w:tabs>
          <w:tab w:val="left" w:pos="284"/>
        </w:tabs>
        <w:jc w:val="both"/>
        <w:rPr>
          <w:rFonts w:ascii="Arial Narrow" w:hAnsi="Arial Narrow"/>
          <w:b/>
          <w:bCs/>
          <w:sz w:val="24"/>
          <w:szCs w:val="24"/>
        </w:rPr>
      </w:pPr>
    </w:p>
    <w:p w14:paraId="64031A85" w14:textId="77777777" w:rsidR="00912B28" w:rsidRPr="00A51745" w:rsidRDefault="00912B28" w:rsidP="00CC626A">
      <w:pPr>
        <w:tabs>
          <w:tab w:val="left" w:pos="284"/>
        </w:tabs>
        <w:jc w:val="both"/>
        <w:rPr>
          <w:rFonts w:ascii="Arial Narrow" w:hAnsi="Arial Narrow"/>
          <w:b/>
          <w:bCs/>
          <w:sz w:val="24"/>
          <w:szCs w:val="24"/>
        </w:rPr>
      </w:pPr>
    </w:p>
    <w:p w14:paraId="68F86D16" w14:textId="77777777" w:rsidR="00906442" w:rsidRPr="00A51745" w:rsidRDefault="00906442" w:rsidP="00CC626A">
      <w:pPr>
        <w:tabs>
          <w:tab w:val="left" w:pos="284"/>
        </w:tabs>
        <w:jc w:val="both"/>
        <w:rPr>
          <w:rFonts w:ascii="Arial Narrow" w:hAnsi="Arial Narrow" w:cs="Bliss Light"/>
          <w:sz w:val="24"/>
          <w:szCs w:val="24"/>
          <w:lang w:eastAsia="zh-CN"/>
        </w:rPr>
      </w:pPr>
      <w:bookmarkStart w:id="0" w:name="_Hlk88832143"/>
    </w:p>
    <w:p w14:paraId="1D7DE040" w14:textId="77777777" w:rsidR="00D63802" w:rsidRPr="00A51745" w:rsidRDefault="008B00A3" w:rsidP="00CC626A">
      <w:pPr>
        <w:pStyle w:val="BodyText2"/>
        <w:tabs>
          <w:tab w:val="left" w:pos="284"/>
        </w:tabs>
        <w:spacing w:after="0" w:line="240" w:lineRule="auto"/>
        <w:jc w:val="both"/>
        <w:rPr>
          <w:sz w:val="22"/>
          <w:szCs w:val="24"/>
          <w:u w:val="single"/>
        </w:rPr>
      </w:pPr>
      <w:bookmarkStart w:id="1" w:name="_Toc313010488"/>
      <w:bookmarkEnd w:id="1"/>
      <w:r w:rsidRPr="00A51745">
        <w:rPr>
          <w:sz w:val="22"/>
          <w:szCs w:val="24"/>
          <w:u w:val="single"/>
        </w:rPr>
        <w:t>Introdução</w:t>
      </w:r>
    </w:p>
    <w:p w14:paraId="0110C960" w14:textId="77777777" w:rsidR="00433A13" w:rsidRPr="00A51745" w:rsidRDefault="00433A13" w:rsidP="00265649">
      <w:pPr>
        <w:tabs>
          <w:tab w:val="left" w:pos="284"/>
          <w:tab w:val="left" w:pos="8985"/>
        </w:tabs>
        <w:jc w:val="both"/>
        <w:rPr>
          <w:rFonts w:ascii="Arial Narrow" w:hAnsi="Arial Narrow"/>
          <w:sz w:val="14"/>
          <w:szCs w:val="14"/>
        </w:rPr>
      </w:pPr>
    </w:p>
    <w:p w14:paraId="7C0A1E58" w14:textId="051E2988" w:rsidR="00D63802" w:rsidRPr="00A51745" w:rsidRDefault="00D63802" w:rsidP="00CC626A">
      <w:pPr>
        <w:tabs>
          <w:tab w:val="left" w:pos="284"/>
          <w:tab w:val="left" w:pos="8985"/>
        </w:tabs>
        <w:jc w:val="both"/>
        <w:rPr>
          <w:rFonts w:ascii="Arial Narrow" w:hAnsi="Arial Narrow" w:cs="Arial"/>
          <w:szCs w:val="21"/>
        </w:rPr>
      </w:pPr>
      <w:r w:rsidRPr="00A51745">
        <w:rPr>
          <w:rFonts w:ascii="Arial Narrow" w:hAnsi="Arial Narrow"/>
          <w:szCs w:val="21"/>
        </w:rPr>
        <w:t xml:space="preserve">A </w:t>
      </w:r>
      <w:r w:rsidR="000A6B72" w:rsidRPr="00A51745">
        <w:rPr>
          <w:rFonts w:ascii="Arial Narrow" w:hAnsi="Arial Narrow"/>
          <w:szCs w:val="21"/>
        </w:rPr>
        <w:t xml:space="preserve">Resolução </w:t>
      </w:r>
      <w:r w:rsidRPr="00A51745">
        <w:rPr>
          <w:rFonts w:ascii="Arial Narrow" w:hAnsi="Arial Narrow"/>
          <w:szCs w:val="21"/>
        </w:rPr>
        <w:t xml:space="preserve"> CVM </w:t>
      </w:r>
      <w:r w:rsidR="000A6B72" w:rsidRPr="00A51745">
        <w:rPr>
          <w:rFonts w:ascii="Arial Narrow" w:hAnsi="Arial Narrow"/>
          <w:szCs w:val="21"/>
        </w:rPr>
        <w:t>21/2021</w:t>
      </w:r>
      <w:r w:rsidRPr="00A51745">
        <w:rPr>
          <w:rFonts w:ascii="Arial Narrow" w:hAnsi="Arial Narrow"/>
          <w:szCs w:val="21"/>
        </w:rPr>
        <w:t xml:space="preserve">determina que o gestor de investimentos deve estabelecer, implementar e manter </w:t>
      </w:r>
      <w:r w:rsidR="00160F61" w:rsidRPr="00A51745">
        <w:rPr>
          <w:rFonts w:ascii="Arial Narrow" w:hAnsi="Arial Narrow"/>
          <w:szCs w:val="21"/>
        </w:rPr>
        <w:t xml:space="preserve">Políticas </w:t>
      </w:r>
      <w:r w:rsidRPr="00A51745">
        <w:rPr>
          <w:rFonts w:ascii="Arial Narrow" w:hAnsi="Arial Narrow"/>
          <w:szCs w:val="21"/>
        </w:rPr>
        <w:t>de Gestão de Riscos (</w:t>
      </w:r>
      <w:r w:rsidR="000C304B" w:rsidRPr="00A51745">
        <w:rPr>
          <w:rFonts w:ascii="Arial Narrow" w:hAnsi="Arial Narrow"/>
          <w:szCs w:val="21"/>
        </w:rPr>
        <w:t>“</w:t>
      </w:r>
      <w:r w:rsidR="00160F61" w:rsidRPr="00A51745">
        <w:rPr>
          <w:rFonts w:ascii="Arial Narrow" w:hAnsi="Arial Narrow"/>
          <w:szCs w:val="21"/>
        </w:rPr>
        <w:t>política</w:t>
      </w:r>
      <w:r w:rsidR="000C304B" w:rsidRPr="00A51745">
        <w:rPr>
          <w:rFonts w:ascii="Arial Narrow" w:hAnsi="Arial Narrow"/>
          <w:szCs w:val="21"/>
        </w:rPr>
        <w:t>”</w:t>
      </w:r>
      <w:r w:rsidRPr="00A51745">
        <w:rPr>
          <w:rFonts w:ascii="Arial Narrow" w:hAnsi="Arial Narrow"/>
          <w:szCs w:val="21"/>
        </w:rPr>
        <w:t>) razoáveis e documentad</w:t>
      </w:r>
      <w:r w:rsidR="000A6B72" w:rsidRPr="00A51745">
        <w:rPr>
          <w:rFonts w:ascii="Arial Narrow" w:hAnsi="Arial Narrow"/>
          <w:szCs w:val="21"/>
        </w:rPr>
        <w:t>a</w:t>
      </w:r>
      <w:r w:rsidRPr="00A51745">
        <w:rPr>
          <w:rFonts w:ascii="Arial Narrow" w:hAnsi="Arial Narrow"/>
          <w:szCs w:val="21"/>
        </w:rPr>
        <w:t>s em relação à identificação de riscos aos quais os fundos e/ou mandatos de investimento por ele geridos estejam ou possam estar expostos. Assim, est</w:t>
      </w:r>
      <w:r w:rsidR="00196130" w:rsidRPr="00A51745">
        <w:rPr>
          <w:rFonts w:ascii="Arial Narrow" w:hAnsi="Arial Narrow"/>
          <w:szCs w:val="21"/>
        </w:rPr>
        <w:t xml:space="preserve">e documento abrange </w:t>
      </w:r>
      <w:r w:rsidRPr="00A51745">
        <w:rPr>
          <w:rFonts w:ascii="Arial Narrow" w:hAnsi="Arial Narrow"/>
          <w:szCs w:val="21"/>
        </w:rPr>
        <w:t>a Política</w:t>
      </w:r>
      <w:r w:rsidR="00196130" w:rsidRPr="00A51745">
        <w:rPr>
          <w:rFonts w:ascii="Arial Narrow" w:hAnsi="Arial Narrow"/>
          <w:szCs w:val="21"/>
        </w:rPr>
        <w:t xml:space="preserve"> e processo de gestão de Riscos e </w:t>
      </w:r>
      <w:r w:rsidRPr="00A51745">
        <w:rPr>
          <w:rFonts w:ascii="Arial Narrow" w:hAnsi="Arial Narrow"/>
          <w:szCs w:val="21"/>
        </w:rPr>
        <w:t xml:space="preserve"> </w:t>
      </w:r>
      <w:r w:rsidR="00196130" w:rsidRPr="00A51745">
        <w:rPr>
          <w:rFonts w:ascii="Arial Narrow" w:hAnsi="Arial Narrow"/>
          <w:szCs w:val="21"/>
        </w:rPr>
        <w:t>d</w:t>
      </w:r>
      <w:r w:rsidRPr="00A51745">
        <w:rPr>
          <w:rFonts w:ascii="Arial Narrow" w:hAnsi="Arial Narrow"/>
          <w:szCs w:val="21"/>
        </w:rPr>
        <w:t xml:space="preserve">a </w:t>
      </w:r>
      <w:r w:rsidR="000A6B72" w:rsidRPr="00A51745">
        <w:rPr>
          <w:rFonts w:ascii="Arial Narrow" w:hAnsi="Arial Narrow"/>
          <w:szCs w:val="21"/>
        </w:rPr>
        <w:t>abrdn</w:t>
      </w:r>
      <w:r w:rsidRPr="00A51745">
        <w:rPr>
          <w:rFonts w:ascii="Arial Narrow" w:hAnsi="Arial Narrow"/>
          <w:szCs w:val="21"/>
        </w:rPr>
        <w:t xml:space="preserve"> Brasil</w:t>
      </w:r>
      <w:r w:rsidR="000A6B72" w:rsidRPr="00A51745">
        <w:rPr>
          <w:rFonts w:ascii="Arial Narrow" w:hAnsi="Arial Narrow"/>
          <w:szCs w:val="21"/>
        </w:rPr>
        <w:t xml:space="preserve"> Investimentos</w:t>
      </w:r>
      <w:r w:rsidR="00A421A9" w:rsidRPr="00A51745">
        <w:rPr>
          <w:rFonts w:ascii="Arial Narrow" w:hAnsi="Arial Narrow"/>
          <w:szCs w:val="21"/>
        </w:rPr>
        <w:t xml:space="preserve"> LTDA </w:t>
      </w:r>
      <w:r w:rsidRPr="00A51745">
        <w:rPr>
          <w:rFonts w:ascii="Arial Narrow" w:hAnsi="Arial Narrow"/>
          <w:szCs w:val="21"/>
        </w:rPr>
        <w:t>(</w:t>
      </w:r>
      <w:r w:rsidR="000C304B" w:rsidRPr="00A51745">
        <w:rPr>
          <w:rFonts w:ascii="Arial Narrow" w:hAnsi="Arial Narrow"/>
          <w:szCs w:val="21"/>
        </w:rPr>
        <w:t>“</w:t>
      </w:r>
      <w:r w:rsidR="000A6B72" w:rsidRPr="00A51745">
        <w:rPr>
          <w:rFonts w:ascii="Arial Narrow" w:hAnsi="Arial Narrow"/>
          <w:szCs w:val="21"/>
        </w:rPr>
        <w:t>abrdn</w:t>
      </w:r>
      <w:r w:rsidR="00A421A9" w:rsidRPr="00A51745">
        <w:rPr>
          <w:rFonts w:ascii="Arial Narrow" w:hAnsi="Arial Narrow"/>
          <w:szCs w:val="21"/>
        </w:rPr>
        <w:t xml:space="preserve"> </w:t>
      </w:r>
      <w:r w:rsidRPr="00A51745">
        <w:rPr>
          <w:rFonts w:ascii="Arial Narrow" w:hAnsi="Arial Narrow"/>
          <w:szCs w:val="21"/>
        </w:rPr>
        <w:t xml:space="preserve"> Brasil</w:t>
      </w:r>
      <w:r w:rsidR="000C304B" w:rsidRPr="00A51745">
        <w:rPr>
          <w:rFonts w:ascii="Arial Narrow" w:hAnsi="Arial Narrow"/>
          <w:szCs w:val="21"/>
        </w:rPr>
        <w:t>”</w:t>
      </w:r>
      <w:r w:rsidRPr="00A51745">
        <w:rPr>
          <w:rFonts w:ascii="Arial Narrow" w:hAnsi="Arial Narrow"/>
          <w:szCs w:val="21"/>
        </w:rPr>
        <w:t>), bem como as técnicas utilizadas para identificar tais riscos.</w:t>
      </w:r>
    </w:p>
    <w:p w14:paraId="2B3B1832" w14:textId="77777777" w:rsidR="008B00A3" w:rsidRPr="00A51745" w:rsidRDefault="008B00A3" w:rsidP="00CC626A">
      <w:pPr>
        <w:tabs>
          <w:tab w:val="left" w:pos="284"/>
          <w:tab w:val="left" w:pos="8985"/>
        </w:tabs>
        <w:jc w:val="both"/>
        <w:rPr>
          <w:rFonts w:ascii="Arial Narrow" w:hAnsi="Arial Narrow" w:cs="Arial"/>
          <w:szCs w:val="21"/>
        </w:rPr>
      </w:pPr>
    </w:p>
    <w:p w14:paraId="7093488D" w14:textId="77777777" w:rsidR="000315D6" w:rsidRPr="00A51745" w:rsidRDefault="000315D6" w:rsidP="00CC626A">
      <w:pPr>
        <w:tabs>
          <w:tab w:val="left" w:pos="284"/>
          <w:tab w:val="left" w:pos="8985"/>
        </w:tabs>
        <w:jc w:val="both"/>
        <w:rPr>
          <w:rFonts w:ascii="Arial Narrow" w:hAnsi="Arial Narrow" w:cs="Arial"/>
          <w:szCs w:val="21"/>
        </w:rPr>
      </w:pPr>
    </w:p>
    <w:p w14:paraId="5D533318" w14:textId="10E1E34B" w:rsidR="00854B83" w:rsidRPr="00A51745" w:rsidRDefault="000315D6" w:rsidP="00854B83">
      <w:pPr>
        <w:pStyle w:val="ListParagraph"/>
        <w:tabs>
          <w:tab w:val="left" w:pos="284"/>
        </w:tabs>
        <w:spacing w:after="0" w:line="240" w:lineRule="auto"/>
        <w:ind w:left="0"/>
        <w:contextualSpacing/>
        <w:jc w:val="both"/>
        <w:rPr>
          <w:rFonts w:ascii="Arial Narrow" w:hAnsi="Arial Narrow"/>
        </w:rPr>
      </w:pPr>
      <w:r w:rsidRPr="00A51745">
        <w:rPr>
          <w:rFonts w:ascii="Arial Narrow" w:hAnsi="Arial Narrow"/>
          <w:szCs w:val="21"/>
        </w:rPr>
        <w:t xml:space="preserve">A </w:t>
      </w:r>
      <w:r w:rsidR="00B96536" w:rsidRPr="00A51745">
        <w:rPr>
          <w:rFonts w:ascii="Arial Narrow" w:hAnsi="Arial Narrow"/>
          <w:szCs w:val="21"/>
        </w:rPr>
        <w:t xml:space="preserve">política </w:t>
      </w:r>
      <w:r w:rsidRPr="00A51745">
        <w:rPr>
          <w:rFonts w:ascii="Arial Narrow" w:hAnsi="Arial Narrow"/>
          <w:szCs w:val="21"/>
        </w:rPr>
        <w:t xml:space="preserve">é revisada no mínimo uma vez ao ano. </w:t>
      </w:r>
      <w:r w:rsidRPr="00A51745">
        <w:rPr>
          <w:rFonts w:ascii="Arial Narrow" w:hAnsi="Arial Narrow"/>
        </w:rPr>
        <w:t xml:space="preserve">A revisão anual e todas as alterações são aprovadas pela </w:t>
      </w:r>
      <w:r w:rsidR="00196130" w:rsidRPr="00A51745">
        <w:rPr>
          <w:rFonts w:ascii="Arial Narrow" w:hAnsi="Arial Narrow"/>
        </w:rPr>
        <w:t xml:space="preserve">Diretoria da abrdn do </w:t>
      </w:r>
      <w:r w:rsidRPr="00A51745">
        <w:rPr>
          <w:rFonts w:ascii="Arial Narrow" w:hAnsi="Arial Narrow"/>
        </w:rPr>
        <w:t xml:space="preserve"> Brasil</w:t>
      </w:r>
      <w:r w:rsidR="00196130" w:rsidRPr="00A51745">
        <w:rPr>
          <w:rFonts w:ascii="Arial Narrow" w:hAnsi="Arial Narrow"/>
        </w:rPr>
        <w:t xml:space="preserve">. </w:t>
      </w:r>
    </w:p>
    <w:bookmarkEnd w:id="0"/>
    <w:p w14:paraId="5BDC12E2" w14:textId="77777777" w:rsidR="00E33F47" w:rsidRPr="00A51745" w:rsidRDefault="000315D6" w:rsidP="00CC626A">
      <w:pPr>
        <w:tabs>
          <w:tab w:val="left" w:pos="284"/>
          <w:tab w:val="left" w:pos="8985"/>
        </w:tabs>
        <w:jc w:val="both"/>
        <w:rPr>
          <w:rFonts w:ascii="Arial Narrow" w:hAnsi="Arial Narrow" w:cs="Arial"/>
          <w:szCs w:val="21"/>
        </w:rPr>
      </w:pPr>
      <w:r w:rsidRPr="00A51745">
        <w:rPr>
          <w:rFonts w:ascii="Arial Narrow" w:hAnsi="Arial Narrow"/>
          <w:szCs w:val="21"/>
        </w:rPr>
        <w:t xml:space="preserve"> </w:t>
      </w:r>
    </w:p>
    <w:p w14:paraId="7272E031" w14:textId="77777777" w:rsidR="00D63802" w:rsidRPr="00A51745" w:rsidRDefault="00D63802" w:rsidP="00CC626A">
      <w:pPr>
        <w:pStyle w:val="ListParagraph"/>
        <w:tabs>
          <w:tab w:val="left" w:pos="284"/>
        </w:tabs>
        <w:spacing w:after="0" w:line="240" w:lineRule="auto"/>
        <w:ind w:left="0"/>
        <w:jc w:val="both"/>
        <w:rPr>
          <w:rFonts w:ascii="Arial Narrow" w:hAnsi="Arial Narrow" w:cs="Bliss Light"/>
          <w:sz w:val="24"/>
          <w:szCs w:val="24"/>
        </w:rPr>
      </w:pPr>
    </w:p>
    <w:p w14:paraId="420FF051" w14:textId="563E52E9" w:rsidR="00872C42" w:rsidRPr="00A51745" w:rsidRDefault="00EF10FD" w:rsidP="00CC626A">
      <w:pPr>
        <w:pStyle w:val="ListParagraph"/>
        <w:tabs>
          <w:tab w:val="left" w:pos="284"/>
        </w:tabs>
        <w:spacing w:after="0" w:line="240" w:lineRule="auto"/>
        <w:ind w:left="0"/>
        <w:jc w:val="both"/>
        <w:rPr>
          <w:rFonts w:ascii="Arial Narrow" w:hAnsi="Arial Narrow"/>
          <w:sz w:val="24"/>
          <w:szCs w:val="24"/>
        </w:rPr>
      </w:pPr>
      <w:r w:rsidRPr="00A51745">
        <w:rPr>
          <w:rFonts w:ascii="Arial Narrow" w:hAnsi="Arial Narrow"/>
          <w:szCs w:val="24"/>
        </w:rPr>
        <w:t xml:space="preserve">                                                                                                                                                                                                                                                                                                                                                                                                                                                                                                                                                                                                                                                                                                                                                                                                                                                                                                                                                                                                                                                                                                                                                                                                                                                                                                                                                                      </w:t>
      </w:r>
    </w:p>
    <w:p w14:paraId="78831882" w14:textId="592E46CF" w:rsidR="00616FFA" w:rsidRPr="00A51745" w:rsidRDefault="00616FFA" w:rsidP="00287AC6">
      <w:pPr>
        <w:pStyle w:val="Default"/>
        <w:tabs>
          <w:tab w:val="left" w:pos="284"/>
        </w:tabs>
        <w:jc w:val="both"/>
        <w:rPr>
          <w:rFonts w:ascii="Arial Narrow" w:hAnsi="Arial Narrow"/>
          <w:color w:val="auto"/>
          <w:sz w:val="22"/>
          <w:szCs w:val="22"/>
          <w:u w:val="single"/>
        </w:rPr>
      </w:pPr>
    </w:p>
    <w:p w14:paraId="58501F32" w14:textId="77777777" w:rsidR="00433A13" w:rsidRPr="00A51745" w:rsidRDefault="00433A13" w:rsidP="00CC626A">
      <w:pPr>
        <w:pStyle w:val="Default"/>
        <w:tabs>
          <w:tab w:val="left" w:pos="284"/>
        </w:tabs>
        <w:jc w:val="both"/>
        <w:rPr>
          <w:rFonts w:ascii="Arial Narrow" w:hAnsi="Arial Narrow"/>
          <w:color w:val="auto"/>
          <w:sz w:val="14"/>
          <w:szCs w:val="14"/>
        </w:rPr>
      </w:pPr>
    </w:p>
    <w:p w14:paraId="6CCAD4B3" w14:textId="65A16380" w:rsidR="008A11E3" w:rsidRPr="00A51745" w:rsidRDefault="00EA6078" w:rsidP="00CC626A">
      <w:pPr>
        <w:pStyle w:val="Default"/>
        <w:tabs>
          <w:tab w:val="left" w:pos="284"/>
        </w:tabs>
        <w:jc w:val="both"/>
        <w:rPr>
          <w:rFonts w:ascii="Arial Narrow" w:hAnsi="Arial Narrow" w:cs="Times New Roman"/>
          <w:b/>
          <w:color w:val="auto"/>
          <w:sz w:val="22"/>
          <w:u w:val="single"/>
        </w:rPr>
      </w:pPr>
      <w:bookmarkStart w:id="2" w:name="_Hlk88833369"/>
      <w:r w:rsidRPr="00A51745">
        <w:rPr>
          <w:rFonts w:ascii="Arial Narrow" w:hAnsi="Arial Narrow" w:cs="Times New Roman"/>
          <w:b/>
          <w:color w:val="auto"/>
          <w:sz w:val="22"/>
          <w:u w:val="single"/>
        </w:rPr>
        <w:t>Responsabilidade</w:t>
      </w:r>
      <w:r w:rsidR="00F51934" w:rsidRPr="00A51745">
        <w:rPr>
          <w:rFonts w:ascii="Arial Narrow" w:hAnsi="Arial Narrow" w:cs="Times New Roman"/>
          <w:b/>
          <w:color w:val="auto"/>
          <w:sz w:val="22"/>
          <w:u w:val="single"/>
        </w:rPr>
        <w:t>: Diretoria da abrdn Brasil</w:t>
      </w:r>
    </w:p>
    <w:bookmarkEnd w:id="2"/>
    <w:p w14:paraId="6F4F5903" w14:textId="77777777" w:rsidR="000A3C88" w:rsidRPr="00A51745" w:rsidRDefault="000A3C88" w:rsidP="00CC626A">
      <w:pPr>
        <w:pStyle w:val="Default"/>
        <w:tabs>
          <w:tab w:val="left" w:pos="284"/>
        </w:tabs>
        <w:jc w:val="both"/>
        <w:rPr>
          <w:rFonts w:ascii="Arial Narrow" w:hAnsi="Arial Narrow"/>
          <w:color w:val="auto"/>
          <w:sz w:val="22"/>
          <w:szCs w:val="22"/>
        </w:rPr>
      </w:pPr>
    </w:p>
    <w:p w14:paraId="5216C2E6" w14:textId="223A809B" w:rsidR="000A3C88" w:rsidRPr="00A51745" w:rsidRDefault="004F2F06" w:rsidP="00CC626A">
      <w:pPr>
        <w:pStyle w:val="Default"/>
        <w:tabs>
          <w:tab w:val="left" w:pos="284"/>
        </w:tabs>
        <w:jc w:val="both"/>
        <w:rPr>
          <w:rFonts w:ascii="Arial Narrow" w:hAnsi="Arial Narrow"/>
          <w:color w:val="auto"/>
          <w:sz w:val="22"/>
          <w:szCs w:val="22"/>
        </w:rPr>
      </w:pPr>
      <w:r w:rsidRPr="00A51745">
        <w:rPr>
          <w:rFonts w:ascii="Arial Narrow" w:hAnsi="Arial Narrow"/>
          <w:color w:val="auto"/>
          <w:sz w:val="22"/>
          <w:szCs w:val="22"/>
        </w:rPr>
        <w:t>A</w:t>
      </w:r>
      <w:r w:rsidR="000A3C88" w:rsidRPr="00A51745">
        <w:rPr>
          <w:rFonts w:ascii="Arial Narrow" w:hAnsi="Arial Narrow"/>
          <w:color w:val="auto"/>
          <w:sz w:val="22"/>
          <w:szCs w:val="22"/>
        </w:rPr>
        <w:t xml:space="preserve"> g</w:t>
      </w:r>
      <w:r w:rsidR="001A1AE1" w:rsidRPr="00A51745">
        <w:rPr>
          <w:rFonts w:ascii="Arial Narrow" w:hAnsi="Arial Narrow"/>
          <w:color w:val="auto"/>
          <w:sz w:val="22"/>
          <w:szCs w:val="22"/>
        </w:rPr>
        <w:t xml:space="preserve">estão </w:t>
      </w:r>
      <w:r w:rsidR="000A3C88" w:rsidRPr="00A51745">
        <w:rPr>
          <w:rFonts w:ascii="Arial Narrow" w:hAnsi="Arial Narrow"/>
          <w:color w:val="auto"/>
          <w:sz w:val="22"/>
          <w:szCs w:val="22"/>
        </w:rPr>
        <w:t xml:space="preserve">de riscos é de responsabilidade de todos os funcionários, enquanto </w:t>
      </w:r>
      <w:r w:rsidR="00003647" w:rsidRPr="00A51745">
        <w:rPr>
          <w:rFonts w:ascii="Arial Narrow" w:hAnsi="Arial Narrow"/>
          <w:color w:val="auto"/>
          <w:sz w:val="22"/>
          <w:szCs w:val="22"/>
        </w:rPr>
        <w:t xml:space="preserve">que a responsabilidade da gestão </w:t>
      </w:r>
      <w:r w:rsidR="000A3C88" w:rsidRPr="00A51745">
        <w:rPr>
          <w:rFonts w:ascii="Arial Narrow" w:hAnsi="Arial Narrow"/>
          <w:color w:val="auto"/>
          <w:sz w:val="22"/>
          <w:szCs w:val="22"/>
        </w:rPr>
        <w:t xml:space="preserve">de riscos </w:t>
      </w:r>
      <w:r w:rsidR="00003647" w:rsidRPr="00A51745">
        <w:rPr>
          <w:rFonts w:ascii="Arial Narrow" w:hAnsi="Arial Narrow"/>
          <w:color w:val="auto"/>
          <w:sz w:val="22"/>
          <w:szCs w:val="22"/>
        </w:rPr>
        <w:t xml:space="preserve">em sua totalidade </w:t>
      </w:r>
      <w:r w:rsidR="000A3C88" w:rsidRPr="00A51745">
        <w:rPr>
          <w:rFonts w:ascii="Arial Narrow" w:hAnsi="Arial Narrow"/>
          <w:color w:val="auto"/>
          <w:sz w:val="22"/>
          <w:szCs w:val="22"/>
        </w:rPr>
        <w:t xml:space="preserve">e sua implementação residem na Diretoria. Uma cultura de conscientização e gerenciamento de riscos na empresa é essencial para um sistema eficaz de gerenciamento de riscos. Portanto, </w:t>
      </w:r>
      <w:r w:rsidR="001A1AE1" w:rsidRPr="00A51745">
        <w:rPr>
          <w:rFonts w:ascii="Arial Narrow" w:hAnsi="Arial Narrow"/>
          <w:color w:val="auto"/>
          <w:sz w:val="22"/>
          <w:szCs w:val="22"/>
        </w:rPr>
        <w:t>a Diretoria</w:t>
      </w:r>
      <w:r w:rsidR="000A3C88" w:rsidRPr="00A51745">
        <w:rPr>
          <w:rFonts w:ascii="Arial Narrow" w:hAnsi="Arial Narrow"/>
          <w:color w:val="auto"/>
          <w:sz w:val="22"/>
          <w:szCs w:val="22"/>
        </w:rPr>
        <w:t xml:space="preserve"> é </w:t>
      </w:r>
      <w:r w:rsidR="00290087" w:rsidRPr="00A51745">
        <w:rPr>
          <w:rFonts w:ascii="Arial Narrow" w:hAnsi="Arial Narrow"/>
          <w:color w:val="auto"/>
          <w:sz w:val="22"/>
          <w:szCs w:val="22"/>
        </w:rPr>
        <w:t xml:space="preserve">em última instância </w:t>
      </w:r>
      <w:r w:rsidR="000A3C88" w:rsidRPr="00A51745">
        <w:rPr>
          <w:rFonts w:ascii="Arial Narrow" w:hAnsi="Arial Narrow"/>
          <w:color w:val="auto"/>
          <w:sz w:val="22"/>
          <w:szCs w:val="22"/>
        </w:rPr>
        <w:t xml:space="preserve">responsável por garantir que </w:t>
      </w:r>
      <w:r w:rsidR="00290087" w:rsidRPr="00A51745">
        <w:rPr>
          <w:rFonts w:ascii="Arial Narrow" w:hAnsi="Arial Narrow"/>
          <w:color w:val="auto"/>
          <w:sz w:val="22"/>
          <w:szCs w:val="22"/>
        </w:rPr>
        <w:t xml:space="preserve">a Política seja estabelecida </w:t>
      </w:r>
      <w:r w:rsidR="000A3C88" w:rsidRPr="00A51745">
        <w:rPr>
          <w:rFonts w:ascii="Arial Narrow" w:hAnsi="Arial Narrow"/>
          <w:color w:val="auto"/>
          <w:sz w:val="22"/>
          <w:szCs w:val="22"/>
        </w:rPr>
        <w:t>e document</w:t>
      </w:r>
      <w:r w:rsidR="00290087" w:rsidRPr="00A51745">
        <w:rPr>
          <w:rFonts w:ascii="Arial Narrow" w:hAnsi="Arial Narrow"/>
          <w:color w:val="auto"/>
          <w:sz w:val="22"/>
          <w:szCs w:val="22"/>
        </w:rPr>
        <w:t xml:space="preserve">ada </w:t>
      </w:r>
      <w:r w:rsidR="000A3C88" w:rsidRPr="00A51745">
        <w:rPr>
          <w:rFonts w:ascii="Arial Narrow" w:hAnsi="Arial Narrow"/>
          <w:color w:val="auto"/>
          <w:sz w:val="22"/>
          <w:szCs w:val="22"/>
        </w:rPr>
        <w:t>adequadamente.</w:t>
      </w:r>
    </w:p>
    <w:p w14:paraId="4E3FC04E" w14:textId="206F36E2" w:rsidR="000A3C88" w:rsidRPr="00A51745" w:rsidRDefault="000A3C88" w:rsidP="00CC626A">
      <w:pPr>
        <w:pStyle w:val="Default"/>
        <w:tabs>
          <w:tab w:val="left" w:pos="284"/>
        </w:tabs>
        <w:jc w:val="both"/>
        <w:rPr>
          <w:rFonts w:ascii="Arial Narrow" w:hAnsi="Arial Narrow"/>
          <w:color w:val="auto"/>
          <w:sz w:val="14"/>
          <w:szCs w:val="14"/>
        </w:rPr>
      </w:pPr>
    </w:p>
    <w:p w14:paraId="199655A3" w14:textId="77777777" w:rsidR="00960DBB" w:rsidRPr="00A51745" w:rsidRDefault="00960DBB" w:rsidP="00CC626A">
      <w:pPr>
        <w:pStyle w:val="Default"/>
        <w:tabs>
          <w:tab w:val="left" w:pos="284"/>
        </w:tabs>
        <w:jc w:val="both"/>
        <w:rPr>
          <w:rFonts w:ascii="Arial Narrow" w:hAnsi="Arial Narrow"/>
          <w:color w:val="auto"/>
        </w:rPr>
      </w:pPr>
    </w:p>
    <w:p w14:paraId="375FFFE5" w14:textId="77777777" w:rsidR="00960DBB" w:rsidRPr="00A51745" w:rsidRDefault="00960DBB" w:rsidP="00960DBB">
      <w:pPr>
        <w:tabs>
          <w:tab w:val="left" w:pos="0"/>
        </w:tabs>
        <w:contextualSpacing/>
        <w:jc w:val="both"/>
        <w:rPr>
          <w:rFonts w:ascii="Arial Narrow" w:hAnsi="Arial Narrow"/>
        </w:rPr>
      </w:pPr>
    </w:p>
    <w:p w14:paraId="78E8B813" w14:textId="759CFC2C" w:rsidR="00960DBB" w:rsidRPr="00A51745" w:rsidRDefault="00B41CD7" w:rsidP="00960DBB">
      <w:pPr>
        <w:tabs>
          <w:tab w:val="left" w:pos="0"/>
        </w:tabs>
        <w:contextualSpacing/>
        <w:jc w:val="both"/>
        <w:rPr>
          <w:rFonts w:ascii="Arial Narrow" w:hAnsi="Arial Narrow"/>
        </w:rPr>
      </w:pPr>
      <w:r w:rsidRPr="00A51745">
        <w:rPr>
          <w:rFonts w:ascii="Arial Narrow" w:hAnsi="Arial Narrow"/>
        </w:rPr>
        <w:t xml:space="preserve">O departamento </w:t>
      </w:r>
      <w:r w:rsidR="00677E96" w:rsidRPr="00A51745">
        <w:rPr>
          <w:rFonts w:ascii="Arial Narrow" w:hAnsi="Arial Narrow"/>
        </w:rPr>
        <w:t xml:space="preserve"> de </w:t>
      </w:r>
      <w:r w:rsidR="00960DBB" w:rsidRPr="00A51745">
        <w:rPr>
          <w:rFonts w:ascii="Arial Narrow" w:hAnsi="Arial Narrow"/>
        </w:rPr>
        <w:t>I</w:t>
      </w:r>
      <w:r w:rsidRPr="00A51745">
        <w:rPr>
          <w:rFonts w:ascii="Arial Narrow" w:hAnsi="Arial Narrow"/>
        </w:rPr>
        <w:t xml:space="preserve">nvestment Risk </w:t>
      </w:r>
      <w:r w:rsidR="00960DBB" w:rsidRPr="00A51745">
        <w:rPr>
          <w:rFonts w:ascii="Arial Narrow" w:hAnsi="Arial Narrow"/>
        </w:rPr>
        <w:t xml:space="preserve"> constitu</w:t>
      </w:r>
      <w:r w:rsidR="00F92947" w:rsidRPr="00A51745">
        <w:rPr>
          <w:rFonts w:ascii="Arial Narrow" w:hAnsi="Arial Narrow"/>
        </w:rPr>
        <w:t>i</w:t>
      </w:r>
      <w:r w:rsidR="00960DBB" w:rsidRPr="00A51745">
        <w:rPr>
          <w:rFonts w:ascii="Arial Narrow" w:hAnsi="Arial Narrow"/>
        </w:rPr>
        <w:t xml:space="preserve"> uma função de risco permanente e independente</w:t>
      </w:r>
      <w:r w:rsidR="00677E96" w:rsidRPr="00A51745">
        <w:rPr>
          <w:rFonts w:ascii="Arial Narrow" w:hAnsi="Arial Narrow"/>
        </w:rPr>
        <w:t>,</w:t>
      </w:r>
      <w:r w:rsidR="00960DBB" w:rsidRPr="00A51745">
        <w:rPr>
          <w:rFonts w:ascii="Arial Narrow" w:hAnsi="Arial Narrow"/>
        </w:rPr>
        <w:t xml:space="preserve"> com independência hierárquica e funcional da</w:t>
      </w:r>
      <w:r w:rsidR="00497763" w:rsidRPr="00A51745">
        <w:rPr>
          <w:rFonts w:ascii="Arial Narrow" w:hAnsi="Arial Narrow"/>
        </w:rPr>
        <w:t xml:space="preserve">s áreas de negócios e da </w:t>
      </w:r>
      <w:r w:rsidR="00960DBB" w:rsidRPr="00A51745">
        <w:rPr>
          <w:rFonts w:ascii="Arial Narrow" w:hAnsi="Arial Narrow"/>
        </w:rPr>
        <w:t xml:space="preserve"> Gestão de Fundos de Investimento.</w:t>
      </w:r>
    </w:p>
    <w:p w14:paraId="12EAA079" w14:textId="77777777" w:rsidR="00960DBB" w:rsidRPr="00A51745" w:rsidRDefault="00960DBB" w:rsidP="00960DBB">
      <w:pPr>
        <w:tabs>
          <w:tab w:val="left" w:pos="0"/>
        </w:tabs>
        <w:contextualSpacing/>
        <w:jc w:val="both"/>
        <w:rPr>
          <w:rFonts w:ascii="Arial Narrow" w:hAnsi="Arial Narrow"/>
        </w:rPr>
      </w:pPr>
    </w:p>
    <w:p w14:paraId="1B26E4CB" w14:textId="300CEA47" w:rsidR="00FA27B8" w:rsidRPr="00A51745" w:rsidRDefault="003030A3" w:rsidP="00CC626A">
      <w:pPr>
        <w:pStyle w:val="ListParagraph"/>
        <w:tabs>
          <w:tab w:val="left" w:pos="284"/>
        </w:tabs>
        <w:spacing w:after="0" w:line="240" w:lineRule="auto"/>
        <w:ind w:left="0"/>
        <w:jc w:val="both"/>
        <w:rPr>
          <w:rFonts w:ascii="Arial Narrow" w:hAnsi="Arial Narrow"/>
        </w:rPr>
      </w:pPr>
      <w:r w:rsidRPr="00A51745">
        <w:rPr>
          <w:rFonts w:ascii="Arial Narrow" w:hAnsi="Arial Narrow"/>
        </w:rPr>
        <w:t xml:space="preserve"> </w:t>
      </w:r>
    </w:p>
    <w:p w14:paraId="3E23FF5C" w14:textId="7A847EF4" w:rsidR="000315D6" w:rsidRPr="00A51745" w:rsidRDefault="006B68FD" w:rsidP="00356520">
      <w:pPr>
        <w:pStyle w:val="Default"/>
        <w:tabs>
          <w:tab w:val="left" w:pos="284"/>
        </w:tabs>
        <w:jc w:val="both"/>
        <w:rPr>
          <w:rFonts w:ascii="Arial Narrow" w:hAnsi="Arial Narrow" w:cs="Times New Roman"/>
          <w:b/>
          <w:color w:val="auto"/>
          <w:sz w:val="22"/>
          <w:u w:val="single"/>
        </w:rPr>
      </w:pPr>
      <w:r w:rsidRPr="00A51745">
        <w:rPr>
          <w:rFonts w:ascii="Arial Narrow" w:hAnsi="Arial Narrow" w:cs="Times New Roman"/>
          <w:b/>
          <w:color w:val="auto"/>
          <w:sz w:val="22"/>
          <w:u w:val="single"/>
        </w:rPr>
        <w:t xml:space="preserve">Gestão de Riscos -  </w:t>
      </w:r>
      <w:r w:rsidR="00D24262" w:rsidRPr="00A51745">
        <w:rPr>
          <w:rFonts w:ascii="Arial Narrow" w:hAnsi="Arial Narrow" w:cs="Times New Roman"/>
          <w:b/>
          <w:color w:val="auto"/>
          <w:sz w:val="22"/>
          <w:u w:val="single"/>
        </w:rPr>
        <w:t>Atribuições</w:t>
      </w:r>
      <w:r w:rsidRPr="00A51745">
        <w:rPr>
          <w:rFonts w:ascii="Arial Narrow" w:hAnsi="Arial Narrow" w:cs="Times New Roman"/>
          <w:b/>
          <w:color w:val="auto"/>
          <w:sz w:val="22"/>
          <w:u w:val="single"/>
        </w:rPr>
        <w:t xml:space="preserve"> </w:t>
      </w:r>
    </w:p>
    <w:p w14:paraId="06084E6F" w14:textId="77777777" w:rsidR="00433A13" w:rsidRPr="00A51745" w:rsidRDefault="00433A13" w:rsidP="00864030">
      <w:pPr>
        <w:autoSpaceDE w:val="0"/>
        <w:autoSpaceDN w:val="0"/>
        <w:adjustRightInd w:val="0"/>
        <w:jc w:val="both"/>
        <w:rPr>
          <w:rFonts w:ascii="Arial Narrow" w:hAnsi="Arial Narrow" w:cs="Helvetica"/>
          <w:szCs w:val="24"/>
          <w:u w:val="single"/>
          <w:lang w:eastAsia="zh-CN"/>
        </w:rPr>
      </w:pPr>
    </w:p>
    <w:p w14:paraId="07B59BEB" w14:textId="48075CB0" w:rsidR="000315D6" w:rsidRPr="00A51745" w:rsidRDefault="00942822"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bookmarkStart w:id="3" w:name="_Hlk88840690"/>
      <w:r w:rsidRPr="00A51745">
        <w:rPr>
          <w:rFonts w:ascii="Arial Narrow" w:hAnsi="Arial Narrow"/>
        </w:rPr>
        <w:t>I</w:t>
      </w:r>
      <w:r w:rsidR="000315D6" w:rsidRPr="00A51745">
        <w:rPr>
          <w:rFonts w:ascii="Arial Narrow" w:hAnsi="Arial Narrow"/>
        </w:rPr>
        <w:t>mplementação da política de gestão de riscos e pelo</w:t>
      </w:r>
      <w:r w:rsidRPr="00A51745">
        <w:rPr>
          <w:rFonts w:ascii="Arial Narrow" w:hAnsi="Arial Narrow"/>
        </w:rPr>
        <w:t xml:space="preserve"> seu</w:t>
      </w:r>
      <w:r w:rsidR="000315D6" w:rsidRPr="00A51745">
        <w:rPr>
          <w:rFonts w:ascii="Arial Narrow" w:hAnsi="Arial Narrow"/>
        </w:rPr>
        <w:t xml:space="preserve"> desenvolvimento e manutenção</w:t>
      </w:r>
      <w:r w:rsidRPr="00A51745">
        <w:rPr>
          <w:rFonts w:ascii="Arial Narrow" w:hAnsi="Arial Narrow"/>
        </w:rPr>
        <w:t>;</w:t>
      </w:r>
    </w:p>
    <w:p w14:paraId="5D2B448F" w14:textId="77777777" w:rsidR="00433A13" w:rsidRPr="00A51745" w:rsidRDefault="00433A13" w:rsidP="00356520">
      <w:pPr>
        <w:pStyle w:val="ListParagraph"/>
        <w:tabs>
          <w:tab w:val="left" w:pos="720"/>
        </w:tabs>
        <w:autoSpaceDE w:val="0"/>
        <w:autoSpaceDN w:val="0"/>
        <w:adjustRightInd w:val="0"/>
        <w:spacing w:after="0" w:line="240" w:lineRule="auto"/>
        <w:jc w:val="both"/>
        <w:rPr>
          <w:rFonts w:ascii="Arial Narrow" w:hAnsi="Arial Narrow"/>
        </w:rPr>
      </w:pPr>
    </w:p>
    <w:p w14:paraId="5FF21902" w14:textId="7F8CF79C" w:rsidR="000315D6" w:rsidRPr="00A51745" w:rsidRDefault="000315D6"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r w:rsidRPr="00A51745">
        <w:rPr>
          <w:rFonts w:ascii="Arial Narrow" w:hAnsi="Arial Narrow"/>
        </w:rPr>
        <w:t xml:space="preserve">Compreensão do negócio e da estratégia desde a etapa de desenvolvimento do produto até a implantação e prestação de serviço de </w:t>
      </w:r>
      <w:r w:rsidR="00942822" w:rsidRPr="00A51745">
        <w:rPr>
          <w:rFonts w:ascii="Arial Narrow" w:hAnsi="Arial Narrow"/>
        </w:rPr>
        <w:t>aconselhamento</w:t>
      </w:r>
      <w:r w:rsidRPr="00A51745">
        <w:rPr>
          <w:rFonts w:ascii="Arial Narrow" w:hAnsi="Arial Narrow"/>
        </w:rPr>
        <w:t xml:space="preserve"> à </w:t>
      </w:r>
      <w:r w:rsidR="00556EFD" w:rsidRPr="00A51745">
        <w:rPr>
          <w:rFonts w:ascii="Arial Narrow" w:hAnsi="Arial Narrow"/>
        </w:rPr>
        <w:t>Diretoria  da abrdn</w:t>
      </w:r>
      <w:r w:rsidR="00AF55A4" w:rsidRPr="00A51745">
        <w:rPr>
          <w:rFonts w:ascii="Arial Narrow" w:hAnsi="Arial Narrow"/>
        </w:rPr>
        <w:t xml:space="preserve"> </w:t>
      </w:r>
      <w:r w:rsidRPr="00A51745">
        <w:rPr>
          <w:rFonts w:ascii="Arial Narrow" w:hAnsi="Arial Narrow"/>
        </w:rPr>
        <w:t xml:space="preserve"> Brasil e às equipes internas no que diz respeito à identificação dos perfis de risco para os mandatos geridos pela </w:t>
      </w:r>
      <w:r w:rsidR="00556EFD" w:rsidRPr="00A51745">
        <w:rPr>
          <w:rFonts w:ascii="Arial Narrow" w:hAnsi="Arial Narrow"/>
        </w:rPr>
        <w:t>abrdn</w:t>
      </w:r>
      <w:r w:rsidR="00942822" w:rsidRPr="00A51745">
        <w:rPr>
          <w:rFonts w:ascii="Arial Narrow" w:hAnsi="Arial Narrow"/>
        </w:rPr>
        <w:t xml:space="preserve"> Brasil</w:t>
      </w:r>
      <w:r w:rsidRPr="00A51745">
        <w:rPr>
          <w:rFonts w:ascii="Arial Narrow" w:hAnsi="Arial Narrow"/>
        </w:rPr>
        <w:t>;</w:t>
      </w:r>
    </w:p>
    <w:p w14:paraId="65B6539E" w14:textId="77777777" w:rsidR="00433A13" w:rsidRPr="00A51745" w:rsidRDefault="00433A13" w:rsidP="00356520">
      <w:pPr>
        <w:pStyle w:val="ListParagraph"/>
        <w:tabs>
          <w:tab w:val="left" w:pos="720"/>
        </w:tabs>
        <w:autoSpaceDE w:val="0"/>
        <w:autoSpaceDN w:val="0"/>
        <w:adjustRightInd w:val="0"/>
        <w:spacing w:after="0" w:line="240" w:lineRule="auto"/>
        <w:jc w:val="both"/>
        <w:rPr>
          <w:rFonts w:ascii="Arial Narrow" w:hAnsi="Arial Narrow"/>
        </w:rPr>
      </w:pPr>
    </w:p>
    <w:p w14:paraId="1EB2B1D6" w14:textId="16CD3B5A" w:rsidR="000315D6" w:rsidRPr="00A51745" w:rsidRDefault="000315D6"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r w:rsidRPr="00A51745">
        <w:rPr>
          <w:rFonts w:ascii="Arial Narrow" w:hAnsi="Arial Narrow"/>
        </w:rPr>
        <w:t>Identificação, mensuração, gestão e monitoramento dos riscos associados aos mandatos para assegurar que o nível de risco esteja alinhado com o perfil de risco estabelecido</w:t>
      </w:r>
      <w:r w:rsidR="00942822" w:rsidRPr="00A51745">
        <w:rPr>
          <w:rFonts w:ascii="Arial Narrow" w:hAnsi="Arial Narrow"/>
        </w:rPr>
        <w:t>;</w:t>
      </w:r>
      <w:r w:rsidRPr="00A51745">
        <w:rPr>
          <w:rFonts w:ascii="Arial Narrow" w:hAnsi="Arial Narrow"/>
        </w:rPr>
        <w:t xml:space="preserve">. </w:t>
      </w:r>
    </w:p>
    <w:p w14:paraId="485D25A0" w14:textId="77777777" w:rsidR="00433A13" w:rsidRPr="00A51745" w:rsidRDefault="00433A13" w:rsidP="00356520">
      <w:pPr>
        <w:pStyle w:val="ListParagraph"/>
        <w:tabs>
          <w:tab w:val="left" w:pos="720"/>
        </w:tabs>
        <w:autoSpaceDE w:val="0"/>
        <w:autoSpaceDN w:val="0"/>
        <w:adjustRightInd w:val="0"/>
        <w:spacing w:after="0" w:line="240" w:lineRule="auto"/>
        <w:jc w:val="both"/>
        <w:rPr>
          <w:rFonts w:ascii="Arial Narrow" w:hAnsi="Arial Narrow"/>
        </w:rPr>
      </w:pPr>
    </w:p>
    <w:p w14:paraId="78D37788" w14:textId="77777777" w:rsidR="00E004B5" w:rsidRPr="00A51745" w:rsidRDefault="00E004B5" w:rsidP="00356520">
      <w:pPr>
        <w:pStyle w:val="ListParagraph"/>
        <w:tabs>
          <w:tab w:val="left" w:pos="720"/>
        </w:tabs>
        <w:autoSpaceDE w:val="0"/>
        <w:autoSpaceDN w:val="0"/>
        <w:adjustRightInd w:val="0"/>
        <w:spacing w:after="0" w:line="240" w:lineRule="auto"/>
        <w:jc w:val="both"/>
        <w:rPr>
          <w:rFonts w:ascii="Arial Narrow" w:hAnsi="Arial Narrow"/>
        </w:rPr>
      </w:pPr>
    </w:p>
    <w:p w14:paraId="639D9ABC" w14:textId="5B5598A9" w:rsidR="00295C07" w:rsidRPr="00A51745" w:rsidRDefault="00295C07"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r w:rsidRPr="00A51745">
        <w:rPr>
          <w:rFonts w:ascii="Arial Narrow" w:hAnsi="Arial Narrow"/>
        </w:rPr>
        <w:t xml:space="preserve">Fornecimento de atualizações regulares aos diretores da </w:t>
      </w:r>
      <w:r w:rsidR="00556EFD" w:rsidRPr="00A51745">
        <w:rPr>
          <w:rFonts w:ascii="Arial Narrow" w:hAnsi="Arial Narrow"/>
        </w:rPr>
        <w:t>abrdn</w:t>
      </w:r>
      <w:r w:rsidRPr="00A51745">
        <w:rPr>
          <w:rFonts w:ascii="Arial Narrow" w:hAnsi="Arial Narrow"/>
        </w:rPr>
        <w:t xml:space="preserve"> Brasil </w:t>
      </w:r>
      <w:r w:rsidR="00556EFD" w:rsidRPr="00A51745">
        <w:rPr>
          <w:rFonts w:ascii="Arial Narrow" w:hAnsi="Arial Narrow"/>
        </w:rPr>
        <w:t xml:space="preserve">e Executivos (sênior management) </w:t>
      </w:r>
      <w:r w:rsidRPr="00A51745">
        <w:rPr>
          <w:rFonts w:ascii="Arial Narrow" w:hAnsi="Arial Narrow"/>
        </w:rPr>
        <w:t>sobre a adequação e eficácia do processo de gestão de riscos, indicando, quando aplicável, deficiências reais ou previstas e suas medidas corretivas.</w:t>
      </w:r>
    </w:p>
    <w:bookmarkEnd w:id="3"/>
    <w:p w14:paraId="6ADE3F31" w14:textId="7CE7B061" w:rsidR="00942822" w:rsidRPr="00A51745" w:rsidRDefault="00942822" w:rsidP="000B1E46">
      <w:pPr>
        <w:pStyle w:val="ListParagraph"/>
        <w:autoSpaceDE w:val="0"/>
        <w:autoSpaceDN w:val="0"/>
        <w:adjustRightInd w:val="0"/>
        <w:spacing w:after="0" w:line="240" w:lineRule="auto"/>
        <w:ind w:left="360"/>
        <w:jc w:val="both"/>
        <w:rPr>
          <w:rFonts w:ascii="Arial Narrow" w:hAnsi="Arial Narrow" w:cs="Helvetica"/>
          <w:szCs w:val="24"/>
          <w:u w:val="single"/>
        </w:rPr>
      </w:pPr>
    </w:p>
    <w:p w14:paraId="5F66849A" w14:textId="7AFA0273" w:rsidR="00556EFD" w:rsidRPr="00A51745" w:rsidRDefault="00556EFD" w:rsidP="000B1E46">
      <w:pPr>
        <w:pStyle w:val="ListParagraph"/>
        <w:autoSpaceDE w:val="0"/>
        <w:autoSpaceDN w:val="0"/>
        <w:adjustRightInd w:val="0"/>
        <w:spacing w:after="0" w:line="240" w:lineRule="auto"/>
        <w:ind w:left="360"/>
        <w:jc w:val="both"/>
        <w:rPr>
          <w:rFonts w:ascii="Arial Narrow" w:hAnsi="Arial Narrow" w:cs="Helvetica"/>
          <w:szCs w:val="24"/>
          <w:u w:val="single"/>
        </w:rPr>
      </w:pPr>
    </w:p>
    <w:p w14:paraId="74CDC177" w14:textId="77777777" w:rsidR="005A7E7A" w:rsidRPr="00A51745" w:rsidRDefault="005A7E7A" w:rsidP="00864030">
      <w:pPr>
        <w:autoSpaceDE w:val="0"/>
        <w:autoSpaceDN w:val="0"/>
        <w:adjustRightInd w:val="0"/>
        <w:jc w:val="both"/>
        <w:rPr>
          <w:rFonts w:ascii="Arial Narrow" w:hAnsi="Arial Narrow"/>
        </w:rPr>
      </w:pPr>
      <w:bookmarkStart w:id="4" w:name="_Hlk88840914"/>
    </w:p>
    <w:bookmarkEnd w:id="4"/>
    <w:p w14:paraId="799F91E5" w14:textId="77777777" w:rsidR="00356520" w:rsidRPr="00A51745" w:rsidRDefault="00356520" w:rsidP="00864030">
      <w:pPr>
        <w:autoSpaceDE w:val="0"/>
        <w:autoSpaceDN w:val="0"/>
        <w:adjustRightInd w:val="0"/>
        <w:jc w:val="both"/>
        <w:rPr>
          <w:rFonts w:ascii="Arial Narrow" w:hAnsi="Arial Narrow"/>
          <w:b/>
          <w:bCs/>
          <w:szCs w:val="24"/>
          <w:u w:val="single"/>
          <w:lang w:eastAsia="zh-CN"/>
        </w:rPr>
      </w:pPr>
    </w:p>
    <w:p w14:paraId="70448B89" w14:textId="77777777" w:rsidR="00B01E56" w:rsidRPr="00A51745" w:rsidRDefault="00B01E56" w:rsidP="008F1DAF">
      <w:pPr>
        <w:autoSpaceDE w:val="0"/>
        <w:autoSpaceDN w:val="0"/>
        <w:adjustRightInd w:val="0"/>
        <w:jc w:val="both"/>
        <w:rPr>
          <w:rFonts w:ascii="Arial Narrow" w:hAnsi="Arial Narrow" w:cs="CIDFont+F3"/>
          <w:b/>
          <w:bCs/>
          <w:lang w:eastAsia="zh-CN"/>
        </w:rPr>
      </w:pPr>
      <w:r w:rsidRPr="00A51745">
        <w:rPr>
          <w:rFonts w:ascii="Arial Narrow" w:hAnsi="Arial Narrow" w:cs="CIDFont+F3"/>
          <w:b/>
          <w:bCs/>
          <w:lang w:eastAsia="zh-CN"/>
        </w:rPr>
        <w:t>Estrutura Organizacional</w:t>
      </w:r>
    </w:p>
    <w:p w14:paraId="656D151E" w14:textId="64831CC9" w:rsidR="00B01E56" w:rsidRPr="00A51745" w:rsidRDefault="00B01E56" w:rsidP="008F1DAF">
      <w:pPr>
        <w:autoSpaceDE w:val="0"/>
        <w:autoSpaceDN w:val="0"/>
        <w:adjustRightInd w:val="0"/>
        <w:jc w:val="both"/>
        <w:rPr>
          <w:rFonts w:ascii="Arial Narrow" w:hAnsi="Arial Narrow" w:cs="CIDFont+F4"/>
          <w:lang w:eastAsia="zh-CN"/>
        </w:rPr>
      </w:pPr>
      <w:r w:rsidRPr="00A51745">
        <w:rPr>
          <w:rFonts w:ascii="Arial Narrow" w:hAnsi="Arial Narrow" w:cs="CIDFont+F4"/>
          <w:lang w:eastAsia="zh-CN"/>
        </w:rPr>
        <w:t xml:space="preserve">A abrdn Brasil nomeou e designou um representante local como parte da equipe de “Investment Risk” em conexão com a implementação e gestão da política de </w:t>
      </w:r>
      <w:r w:rsidR="009C31D6" w:rsidRPr="00A51745">
        <w:rPr>
          <w:rFonts w:ascii="Arial Narrow" w:hAnsi="Arial Narrow" w:cs="CIDFont+F4"/>
          <w:lang w:eastAsia="zh-CN"/>
        </w:rPr>
        <w:t>gerenciamento de riscos da abrdn</w:t>
      </w:r>
      <w:r w:rsidRPr="00A51745">
        <w:rPr>
          <w:rFonts w:ascii="Arial Narrow" w:hAnsi="Arial Narrow" w:cs="CIDFont+F4"/>
          <w:lang w:eastAsia="zh-CN"/>
        </w:rPr>
        <w:t xml:space="preserve"> Brasil.</w:t>
      </w:r>
    </w:p>
    <w:p w14:paraId="7D121AD3" w14:textId="77777777" w:rsidR="00B01E56" w:rsidRPr="00A51745" w:rsidRDefault="00B01E56" w:rsidP="008F1DAF">
      <w:pPr>
        <w:autoSpaceDE w:val="0"/>
        <w:autoSpaceDN w:val="0"/>
        <w:adjustRightInd w:val="0"/>
        <w:jc w:val="both"/>
        <w:rPr>
          <w:rFonts w:ascii="Arial Narrow" w:hAnsi="Arial Narrow" w:cs="CIDFont+F4"/>
          <w:lang w:eastAsia="zh-CN"/>
        </w:rPr>
      </w:pPr>
    </w:p>
    <w:p w14:paraId="00C6C39A" w14:textId="7AD7C600" w:rsidR="00B01E56" w:rsidRPr="00A51745" w:rsidRDefault="00B01E56" w:rsidP="008F1DAF">
      <w:pPr>
        <w:autoSpaceDE w:val="0"/>
        <w:autoSpaceDN w:val="0"/>
        <w:adjustRightInd w:val="0"/>
        <w:jc w:val="both"/>
        <w:rPr>
          <w:rFonts w:ascii="Arial Narrow" w:hAnsi="Arial Narrow" w:cs="CIDFont+F4"/>
          <w:lang w:eastAsia="zh-CN"/>
        </w:rPr>
      </w:pPr>
      <w:r w:rsidRPr="00A51745">
        <w:rPr>
          <w:rFonts w:ascii="Arial Narrow" w:hAnsi="Arial Narrow" w:cs="CIDFont+F4"/>
          <w:lang w:eastAsia="zh-CN"/>
        </w:rPr>
        <w:t xml:space="preserve">Adicionalmente, a representante local da equipe de “Investment Risk” é a Diretora responsável pela Gestão de Riscos da abrdn Brasil perante a Comissão de Valores Mobiliários (“CVM”) e, nessa qualidade, pode levantar preocupações/questões que tenham chegado ao </w:t>
      </w:r>
      <w:r w:rsidR="00B93142" w:rsidRPr="00A51745">
        <w:rPr>
          <w:rFonts w:ascii="Arial Narrow" w:hAnsi="Arial Narrow" w:cs="CIDFont+F4"/>
          <w:lang w:eastAsia="zh-CN"/>
        </w:rPr>
        <w:t xml:space="preserve">seu </w:t>
      </w:r>
      <w:r w:rsidRPr="00A51745">
        <w:rPr>
          <w:rFonts w:ascii="Arial Narrow" w:hAnsi="Arial Narrow" w:cs="CIDFont+F4"/>
          <w:lang w:eastAsia="zh-CN"/>
        </w:rPr>
        <w:t xml:space="preserve">conhecimento no exercício de suas funções. O representante local de “Investment Risk” também é responsável pelo programa regulatório e de Compliance da abrdn Brasil e reporta ao </w:t>
      </w:r>
      <w:r w:rsidRPr="00A51745">
        <w:rPr>
          <w:rFonts w:ascii="Arial Narrow" w:hAnsi="Arial Narrow" w:cs="CIDFont+F6"/>
          <w:lang w:eastAsia="zh-CN"/>
        </w:rPr>
        <w:t xml:space="preserve">Head de Investment Risk </w:t>
      </w:r>
      <w:proofErr w:type="spellStart"/>
      <w:r w:rsidRPr="00A51745">
        <w:rPr>
          <w:rFonts w:ascii="Arial Narrow" w:hAnsi="Arial Narrow" w:cs="CIDFont+F6"/>
          <w:lang w:eastAsia="zh-CN"/>
        </w:rPr>
        <w:t>Luxembourg</w:t>
      </w:r>
      <w:proofErr w:type="spellEnd"/>
      <w:r w:rsidRPr="00A51745">
        <w:rPr>
          <w:rFonts w:ascii="Arial Narrow" w:hAnsi="Arial Narrow" w:cs="CIDFont+F6"/>
          <w:lang w:eastAsia="zh-CN"/>
        </w:rPr>
        <w:t xml:space="preserve"> </w:t>
      </w:r>
      <w:r w:rsidRPr="00A51745">
        <w:rPr>
          <w:rFonts w:ascii="Arial Narrow" w:hAnsi="Arial Narrow" w:cs="CIDFont+F4"/>
          <w:lang w:eastAsia="zh-CN"/>
        </w:rPr>
        <w:t xml:space="preserve">e ao </w:t>
      </w:r>
      <w:r w:rsidRPr="00A51745">
        <w:rPr>
          <w:rFonts w:ascii="Arial Narrow" w:hAnsi="Arial Narrow" w:cs="CIDFont+F6"/>
          <w:lang w:eastAsia="zh-CN"/>
        </w:rPr>
        <w:t>Chief Risk Officer – Américas</w:t>
      </w:r>
      <w:r w:rsidRPr="00A51745">
        <w:rPr>
          <w:rFonts w:ascii="Arial Narrow" w:hAnsi="Arial Narrow" w:cs="CIDFont+F4"/>
          <w:lang w:eastAsia="zh-CN"/>
        </w:rPr>
        <w:t xml:space="preserve">, estes por sua vez reportam direta ou indiretamente ao </w:t>
      </w:r>
      <w:r w:rsidRPr="00A51745">
        <w:rPr>
          <w:rFonts w:ascii="Arial Narrow" w:hAnsi="Arial Narrow" w:cs="CIDFont+F6"/>
          <w:lang w:eastAsia="zh-CN"/>
        </w:rPr>
        <w:t xml:space="preserve">Chief Risk Officer </w:t>
      </w:r>
      <w:r w:rsidRPr="00A51745">
        <w:rPr>
          <w:rFonts w:ascii="Arial Narrow" w:hAnsi="Arial Narrow" w:cs="CIDFont+F4"/>
          <w:lang w:eastAsia="zh-CN"/>
        </w:rPr>
        <w:t>do Grupo.</w:t>
      </w:r>
    </w:p>
    <w:p w14:paraId="0FD5182B" w14:textId="7D0CE99B" w:rsidR="00B01E56" w:rsidRPr="00A51745" w:rsidRDefault="00B01E56" w:rsidP="008F1DAF">
      <w:pPr>
        <w:autoSpaceDE w:val="0"/>
        <w:autoSpaceDN w:val="0"/>
        <w:adjustRightInd w:val="0"/>
        <w:jc w:val="both"/>
        <w:rPr>
          <w:rFonts w:ascii="Arial Narrow" w:hAnsi="Arial Narrow" w:cs="CIDFont+F4"/>
          <w:lang w:eastAsia="zh-CN"/>
        </w:rPr>
      </w:pPr>
    </w:p>
    <w:p w14:paraId="736AE427" w14:textId="77777777" w:rsidR="00B01E56" w:rsidRPr="00A51745" w:rsidRDefault="00B01E56" w:rsidP="008F1DAF">
      <w:pPr>
        <w:autoSpaceDE w:val="0"/>
        <w:autoSpaceDN w:val="0"/>
        <w:adjustRightInd w:val="0"/>
        <w:jc w:val="both"/>
        <w:rPr>
          <w:rFonts w:ascii="Arial Narrow" w:hAnsi="Arial Narrow" w:cs="CIDFont+F4"/>
          <w:lang w:eastAsia="zh-CN"/>
        </w:rPr>
      </w:pPr>
    </w:p>
    <w:p w14:paraId="1FB1CFA2" w14:textId="61708BF3" w:rsidR="00B01E56" w:rsidRPr="00A51745" w:rsidRDefault="00B01E56">
      <w:pPr>
        <w:autoSpaceDE w:val="0"/>
        <w:autoSpaceDN w:val="0"/>
        <w:adjustRightInd w:val="0"/>
        <w:jc w:val="both"/>
        <w:rPr>
          <w:rFonts w:ascii="Arial Narrow" w:hAnsi="Arial Narrow" w:cs="CIDFont+F4"/>
          <w:lang w:eastAsia="zh-CN"/>
        </w:rPr>
      </w:pPr>
      <w:r w:rsidRPr="00A51745">
        <w:rPr>
          <w:rFonts w:ascii="Arial Narrow" w:hAnsi="Arial Narrow" w:cs="CIDFont+F4"/>
          <w:lang w:eastAsia="zh-CN"/>
        </w:rPr>
        <w:t>Para a realização e manutenção dos processos no gerenciamento de riscos contamos com o suporte da equipe de “Investment Risk” no Reino Unido.</w:t>
      </w:r>
    </w:p>
    <w:p w14:paraId="35B5CCEF" w14:textId="77777777" w:rsidR="009C31D6" w:rsidRPr="00A51745" w:rsidRDefault="009C31D6" w:rsidP="008F1DAF">
      <w:pPr>
        <w:autoSpaceDE w:val="0"/>
        <w:autoSpaceDN w:val="0"/>
        <w:adjustRightInd w:val="0"/>
        <w:jc w:val="both"/>
        <w:rPr>
          <w:rFonts w:ascii="Arial Narrow" w:hAnsi="Arial Narrow" w:cs="CIDFont+F4"/>
          <w:lang w:eastAsia="zh-CN"/>
        </w:rPr>
      </w:pPr>
    </w:p>
    <w:p w14:paraId="79ACF553" w14:textId="08CBCB2B" w:rsidR="00356520" w:rsidRPr="00A51745" w:rsidRDefault="00B01E56" w:rsidP="00B01E56">
      <w:pPr>
        <w:autoSpaceDE w:val="0"/>
        <w:autoSpaceDN w:val="0"/>
        <w:adjustRightInd w:val="0"/>
        <w:jc w:val="both"/>
        <w:rPr>
          <w:rFonts w:ascii="Arial Narrow" w:hAnsi="Arial Narrow"/>
          <w:b/>
          <w:bCs/>
          <w:szCs w:val="24"/>
          <w:u w:val="single"/>
          <w:lang w:eastAsia="zh-CN"/>
        </w:rPr>
      </w:pPr>
      <w:r w:rsidRPr="00A51745">
        <w:rPr>
          <w:rFonts w:ascii="Arial Narrow" w:hAnsi="Arial Narrow" w:cs="CIDFont+F4"/>
          <w:lang w:eastAsia="zh-CN"/>
        </w:rPr>
        <w:t>O representante do departamento de “Investment Risk” no Brasil acompanha o processo de ge</w:t>
      </w:r>
      <w:r w:rsidR="009C31D6" w:rsidRPr="00A51745">
        <w:rPr>
          <w:rFonts w:ascii="Arial Narrow" w:hAnsi="Arial Narrow" w:cs="CIDFont+F4"/>
          <w:lang w:eastAsia="zh-CN"/>
        </w:rPr>
        <w:t>renciamento de riscos</w:t>
      </w:r>
      <w:r w:rsidRPr="00A51745">
        <w:rPr>
          <w:rFonts w:ascii="Arial Narrow" w:hAnsi="Arial Narrow" w:cs="CIDFont+F4"/>
          <w:lang w:eastAsia="zh-CN"/>
        </w:rPr>
        <w:t xml:space="preserve"> juntamente com os colegas de Investment Risk no Reino Unido, através de conversas constantes, análise de relatórios e conversas com os gestores dos fundos.</w:t>
      </w:r>
    </w:p>
    <w:p w14:paraId="7B4C6A02" w14:textId="77777777" w:rsidR="00356520" w:rsidRPr="00A51745" w:rsidRDefault="00356520" w:rsidP="00864030">
      <w:pPr>
        <w:autoSpaceDE w:val="0"/>
        <w:autoSpaceDN w:val="0"/>
        <w:adjustRightInd w:val="0"/>
        <w:jc w:val="both"/>
        <w:rPr>
          <w:rFonts w:ascii="Arial Narrow" w:hAnsi="Arial Narrow"/>
          <w:b/>
          <w:bCs/>
          <w:szCs w:val="24"/>
          <w:u w:val="single"/>
          <w:lang w:eastAsia="zh-CN"/>
        </w:rPr>
      </w:pPr>
    </w:p>
    <w:p w14:paraId="0D22BE83" w14:textId="77777777" w:rsidR="000A7558" w:rsidRPr="00A51745" w:rsidRDefault="000A7558" w:rsidP="005A7E7A">
      <w:pPr>
        <w:pStyle w:val="Default"/>
        <w:tabs>
          <w:tab w:val="left" w:pos="284"/>
        </w:tabs>
        <w:jc w:val="both"/>
        <w:rPr>
          <w:rFonts w:ascii="Arial Narrow" w:hAnsi="Arial Narrow"/>
          <w:color w:val="auto"/>
        </w:rPr>
      </w:pPr>
    </w:p>
    <w:p w14:paraId="08F37272" w14:textId="2A91C1FE" w:rsidR="000A7558" w:rsidRPr="00A51745" w:rsidRDefault="000A7558" w:rsidP="005A7E7A">
      <w:pPr>
        <w:pStyle w:val="Default"/>
        <w:tabs>
          <w:tab w:val="left" w:pos="284"/>
        </w:tabs>
        <w:jc w:val="both"/>
        <w:rPr>
          <w:rFonts w:ascii="Arial Narrow" w:hAnsi="Arial Narrow"/>
          <w:color w:val="auto"/>
        </w:rPr>
      </w:pPr>
    </w:p>
    <w:p w14:paraId="100EEE2C" w14:textId="77777777" w:rsidR="00E12440" w:rsidRPr="00A51745" w:rsidRDefault="00E12440" w:rsidP="00E12440">
      <w:pPr>
        <w:pStyle w:val="ListParagraph"/>
        <w:tabs>
          <w:tab w:val="left" w:pos="284"/>
        </w:tabs>
        <w:spacing w:after="0" w:line="240" w:lineRule="auto"/>
        <w:ind w:left="0"/>
        <w:jc w:val="both"/>
        <w:rPr>
          <w:rFonts w:ascii="Arial Narrow" w:hAnsi="Arial Narrow"/>
          <w:sz w:val="14"/>
          <w:szCs w:val="14"/>
        </w:rPr>
      </w:pPr>
      <w:r w:rsidRPr="00A51745">
        <w:rPr>
          <w:rFonts w:ascii="Arial Narrow" w:hAnsi="Arial Narrow"/>
          <w:b/>
          <w:szCs w:val="24"/>
          <w:u w:val="single"/>
        </w:rPr>
        <w:lastRenderedPageBreak/>
        <w:t xml:space="preserve">Visão Geral da Política de Gestão de Riscos </w:t>
      </w:r>
    </w:p>
    <w:p w14:paraId="34CBF8A7" w14:textId="27D3B6BF" w:rsidR="00E12440" w:rsidRPr="00A51745" w:rsidRDefault="00E12440" w:rsidP="00E12440">
      <w:pPr>
        <w:pStyle w:val="Default"/>
        <w:tabs>
          <w:tab w:val="left" w:pos="284"/>
        </w:tabs>
        <w:jc w:val="both"/>
        <w:rPr>
          <w:rFonts w:ascii="Arial Narrow" w:hAnsi="Arial Narrow"/>
          <w:color w:val="auto"/>
        </w:rPr>
      </w:pPr>
      <w:r w:rsidRPr="00A51745">
        <w:rPr>
          <w:rFonts w:ascii="Arial Narrow" w:hAnsi="Arial Narrow"/>
          <w:color w:val="auto"/>
        </w:rPr>
        <w:t>A política compreende a estrutura organizacional, as políticas e procedimentos de gestão de riscos relevantes para a estratégia de investimento de cada Fundo e os processos e técnicas utilizados para identificar, mensurar, gerir e monitorar tais riscos. Em particular, a Política define os controles de risco utilizados para gerenciar os riscos associados aos mandatos da abrdn Brasil. Estes riscos incluem, entre outros: risco de mercado, crédito, contraparte, liquidez e risco operacional. Também descreve os mecanismos de controle interno da Empresa para evitar ou mitigar falhas operacionais e os procedimentos para a gestão do risco operacional.</w:t>
      </w:r>
      <w:r w:rsidRPr="00A51745">
        <w:rPr>
          <w:rFonts w:ascii="Arial Narrow" w:hAnsi="Arial Narrow"/>
          <w:color w:val="auto"/>
        </w:rPr>
        <w:cr/>
      </w:r>
    </w:p>
    <w:p w14:paraId="7E7A447F" w14:textId="77777777" w:rsidR="000A7558" w:rsidRPr="00A51745" w:rsidRDefault="000A7558" w:rsidP="005A7E7A">
      <w:pPr>
        <w:pStyle w:val="Default"/>
        <w:tabs>
          <w:tab w:val="left" w:pos="284"/>
        </w:tabs>
        <w:jc w:val="both"/>
        <w:rPr>
          <w:rFonts w:ascii="Arial Narrow" w:hAnsi="Arial Narrow"/>
          <w:color w:val="auto"/>
        </w:rPr>
      </w:pPr>
    </w:p>
    <w:p w14:paraId="4CF88CDA" w14:textId="77777777" w:rsidR="00E63745" w:rsidRPr="00A51745" w:rsidRDefault="00E63745" w:rsidP="00864030">
      <w:pPr>
        <w:pStyle w:val="ListParagraph"/>
        <w:tabs>
          <w:tab w:val="left" w:pos="284"/>
        </w:tabs>
        <w:spacing w:after="0" w:line="240" w:lineRule="auto"/>
        <w:ind w:left="0"/>
        <w:jc w:val="both"/>
        <w:rPr>
          <w:rFonts w:ascii="Arial Narrow" w:hAnsi="Arial Narrow"/>
          <w:bCs/>
          <w:i/>
          <w:sz w:val="16"/>
          <w:szCs w:val="16"/>
        </w:rPr>
      </w:pPr>
    </w:p>
    <w:p w14:paraId="76406095" w14:textId="77777777" w:rsidR="00433A13" w:rsidRPr="00A51745" w:rsidRDefault="00433A13" w:rsidP="00864030">
      <w:pPr>
        <w:pStyle w:val="ListParagraph"/>
        <w:tabs>
          <w:tab w:val="left" w:pos="0"/>
        </w:tabs>
        <w:spacing w:after="0" w:line="240" w:lineRule="auto"/>
        <w:ind w:left="0"/>
        <w:jc w:val="both"/>
        <w:rPr>
          <w:rFonts w:ascii="Arial Narrow" w:hAnsi="Arial Narrow"/>
          <w:bCs/>
          <w:szCs w:val="24"/>
        </w:rPr>
      </w:pPr>
    </w:p>
    <w:p w14:paraId="1EC628B8" w14:textId="77777777" w:rsidR="00433A13" w:rsidRPr="00A51745" w:rsidRDefault="00D93061" w:rsidP="00356520">
      <w:pPr>
        <w:pStyle w:val="Default"/>
        <w:tabs>
          <w:tab w:val="left" w:pos="284"/>
        </w:tabs>
        <w:jc w:val="both"/>
        <w:rPr>
          <w:rFonts w:ascii="Arial Narrow" w:hAnsi="Arial Narrow" w:cs="Times New Roman"/>
          <w:b/>
          <w:color w:val="auto"/>
          <w:sz w:val="22"/>
          <w:u w:val="single"/>
        </w:rPr>
      </w:pPr>
      <w:r w:rsidRPr="00A51745">
        <w:rPr>
          <w:rFonts w:ascii="Arial Narrow" w:hAnsi="Arial Narrow" w:cs="Times New Roman"/>
          <w:b/>
          <w:color w:val="auto"/>
          <w:sz w:val="22"/>
          <w:u w:val="single"/>
        </w:rPr>
        <w:t>Limites de Risco</w:t>
      </w:r>
    </w:p>
    <w:p w14:paraId="3314E699" w14:textId="77777777" w:rsidR="00D93061" w:rsidRPr="00A51745" w:rsidRDefault="00D93061" w:rsidP="000B1E46">
      <w:pPr>
        <w:jc w:val="both"/>
        <w:rPr>
          <w:rFonts w:ascii="Arial Narrow" w:hAnsi="Arial Narrow"/>
          <w:bCs/>
          <w:szCs w:val="24"/>
        </w:rPr>
      </w:pPr>
    </w:p>
    <w:p w14:paraId="410A92B8" w14:textId="2F08C466" w:rsidR="00D12BB9" w:rsidRPr="00A51745" w:rsidRDefault="00D12BB9" w:rsidP="000B1E46">
      <w:pPr>
        <w:jc w:val="both"/>
        <w:rPr>
          <w:rFonts w:ascii="Arial Narrow" w:hAnsi="Arial Narrow"/>
          <w:bCs/>
          <w:szCs w:val="24"/>
          <w:lang w:eastAsia="zh-CN"/>
        </w:rPr>
      </w:pPr>
      <w:r w:rsidRPr="00A51745">
        <w:rPr>
          <w:rFonts w:ascii="Arial Narrow" w:hAnsi="Arial Narrow"/>
          <w:bCs/>
          <w:szCs w:val="24"/>
          <w:lang w:eastAsia="zh-CN"/>
        </w:rPr>
        <w:t xml:space="preserve">Os limites regulatórios, bem como aqueles estabelecidos no regulamento do Fundo (ou documentação equivalente), são rigorosamente aplicados para garantir que a ASI não os infrinja inadvertidamente (ou deliberadamente) e adicione mais exposição a riscos ao Fundo. Sempre que possível, eles são codificados no sistema de negociação de front office, Charles River (usado para </w:t>
      </w:r>
      <w:r w:rsidR="00040880" w:rsidRPr="00A51745">
        <w:rPr>
          <w:rFonts w:ascii="Arial Narrow" w:hAnsi="Arial Narrow"/>
          <w:bCs/>
          <w:szCs w:val="24"/>
          <w:lang w:eastAsia="zh-CN"/>
        </w:rPr>
        <w:t xml:space="preserve">negócios de </w:t>
      </w:r>
      <w:r w:rsidRPr="00A51745">
        <w:rPr>
          <w:rFonts w:ascii="Arial Narrow" w:hAnsi="Arial Narrow"/>
          <w:bCs/>
          <w:szCs w:val="24"/>
          <w:lang w:eastAsia="zh-CN"/>
        </w:rPr>
        <w:t xml:space="preserve">ações, renda fixa, </w:t>
      </w:r>
      <w:r w:rsidR="00BD6C9A" w:rsidRPr="00A51745">
        <w:rPr>
          <w:rFonts w:ascii="Arial Narrow" w:hAnsi="Arial Narrow"/>
          <w:bCs/>
          <w:szCs w:val="24"/>
          <w:lang w:eastAsia="zh-CN"/>
        </w:rPr>
        <w:t>multimercado</w:t>
      </w:r>
      <w:r w:rsidR="00040880" w:rsidRPr="00A51745">
        <w:rPr>
          <w:rFonts w:ascii="Arial Narrow" w:hAnsi="Arial Narrow"/>
          <w:bCs/>
          <w:szCs w:val="24"/>
          <w:lang w:eastAsia="zh-CN"/>
        </w:rPr>
        <w:t xml:space="preserve"> </w:t>
      </w:r>
      <w:r w:rsidRPr="00A51745">
        <w:rPr>
          <w:rFonts w:ascii="Arial Narrow" w:hAnsi="Arial Narrow"/>
          <w:bCs/>
          <w:szCs w:val="24"/>
          <w:lang w:eastAsia="zh-CN"/>
        </w:rPr>
        <w:t xml:space="preserve">e </w:t>
      </w:r>
      <w:r w:rsidR="00040880" w:rsidRPr="00A51745">
        <w:rPr>
          <w:rFonts w:ascii="Arial Narrow" w:hAnsi="Arial Narrow"/>
          <w:bCs/>
          <w:szCs w:val="24"/>
          <w:lang w:eastAsia="zh-CN"/>
        </w:rPr>
        <w:t xml:space="preserve">fundos </w:t>
      </w:r>
      <w:proofErr w:type="spellStart"/>
      <w:r w:rsidR="00C607FB" w:rsidRPr="007B0B9D">
        <w:rPr>
          <w:rFonts w:ascii="Arial Narrow" w:hAnsi="Arial Narrow"/>
          <w:bCs/>
          <w:i/>
          <w:iCs/>
          <w:szCs w:val="24"/>
          <w:lang w:eastAsia="zh-CN"/>
        </w:rPr>
        <w:t>long-only</w:t>
      </w:r>
      <w:proofErr w:type="spellEnd"/>
      <w:r w:rsidRPr="00A51745">
        <w:rPr>
          <w:rFonts w:ascii="Arial Narrow" w:hAnsi="Arial Narrow"/>
          <w:bCs/>
          <w:szCs w:val="24"/>
          <w:lang w:eastAsia="zh-CN"/>
        </w:rPr>
        <w:t xml:space="preserve">) em uma capacidade de </w:t>
      </w:r>
      <w:proofErr w:type="spellStart"/>
      <w:r w:rsidRPr="00A51745">
        <w:rPr>
          <w:rFonts w:ascii="Arial Narrow" w:hAnsi="Arial Narrow"/>
          <w:bCs/>
          <w:szCs w:val="24"/>
          <w:lang w:eastAsia="zh-CN"/>
        </w:rPr>
        <w:t>pré</w:t>
      </w:r>
      <w:proofErr w:type="spellEnd"/>
      <w:r w:rsidRPr="00A51745">
        <w:rPr>
          <w:rFonts w:ascii="Arial Narrow" w:hAnsi="Arial Narrow"/>
          <w:bCs/>
          <w:szCs w:val="24"/>
          <w:lang w:eastAsia="zh-CN"/>
        </w:rPr>
        <w:t>-negociação, impedindo que o gestor do fundo acrescente a eles exposição e violação dos limites estabelecidos antes que a negociação seja efetivamente executada. Esses limites também são monitorados na pós-negociação pelo departamento de Investment Control, que endereça imediatamente qualquer violação identificada. A maioria dos limites rígidos estabelecidos visa ajudar a prevenir a ocorrência de risco de concentração.</w:t>
      </w:r>
    </w:p>
    <w:p w14:paraId="62A2976C" w14:textId="77777777" w:rsidR="002B3555" w:rsidRPr="00A51745" w:rsidRDefault="002B3555" w:rsidP="00864030">
      <w:pPr>
        <w:pStyle w:val="ListParagraph"/>
        <w:tabs>
          <w:tab w:val="left" w:pos="0"/>
        </w:tabs>
        <w:spacing w:after="0" w:line="240" w:lineRule="auto"/>
        <w:ind w:left="0"/>
        <w:jc w:val="both"/>
        <w:rPr>
          <w:rFonts w:ascii="Arial Narrow" w:hAnsi="Arial Narrow"/>
          <w:bCs/>
          <w:szCs w:val="24"/>
          <w:lang w:val="pt-PT"/>
        </w:rPr>
      </w:pPr>
    </w:p>
    <w:p w14:paraId="4BB06675" w14:textId="77777777" w:rsidR="008F63AA" w:rsidRPr="00A51745" w:rsidRDefault="008F63AA" w:rsidP="00864030">
      <w:pPr>
        <w:pStyle w:val="ListParagraph"/>
        <w:tabs>
          <w:tab w:val="left" w:pos="0"/>
        </w:tabs>
        <w:spacing w:after="0" w:line="240" w:lineRule="auto"/>
        <w:ind w:left="0"/>
        <w:jc w:val="both"/>
        <w:rPr>
          <w:rFonts w:ascii="Arial Narrow" w:hAnsi="Arial Narrow"/>
          <w:b/>
          <w:bCs/>
          <w:szCs w:val="24"/>
        </w:rPr>
      </w:pPr>
    </w:p>
    <w:p w14:paraId="495785FF" w14:textId="2A4A8937" w:rsidR="0061403F" w:rsidRPr="00A51745" w:rsidRDefault="0061403F" w:rsidP="00356520">
      <w:pPr>
        <w:pStyle w:val="Default"/>
        <w:tabs>
          <w:tab w:val="left" w:pos="284"/>
        </w:tabs>
        <w:jc w:val="both"/>
        <w:rPr>
          <w:rFonts w:ascii="Arial Narrow" w:hAnsi="Arial Narrow" w:cs="Times New Roman"/>
          <w:b/>
          <w:color w:val="auto"/>
          <w:sz w:val="22"/>
          <w:u w:val="single"/>
        </w:rPr>
      </w:pPr>
      <w:r w:rsidRPr="00A51745">
        <w:rPr>
          <w:rFonts w:ascii="Arial Narrow" w:hAnsi="Arial Narrow" w:cs="Times New Roman"/>
          <w:b/>
          <w:color w:val="auto"/>
          <w:sz w:val="22"/>
          <w:u w:val="single"/>
        </w:rPr>
        <w:t>Monitoramento de violações e processo de escalonamento</w:t>
      </w:r>
      <w:r w:rsidR="00D02A11" w:rsidRPr="00A51745">
        <w:rPr>
          <w:rFonts w:ascii="Arial Narrow" w:hAnsi="Arial Narrow" w:cs="Times New Roman"/>
          <w:b/>
          <w:color w:val="auto"/>
          <w:sz w:val="22"/>
          <w:u w:val="single"/>
        </w:rPr>
        <w:t xml:space="preserve"> </w:t>
      </w:r>
    </w:p>
    <w:p w14:paraId="3DBC6C44" w14:textId="77777777" w:rsidR="00433A13" w:rsidRPr="00A51745" w:rsidRDefault="00433A13" w:rsidP="00864030">
      <w:pPr>
        <w:pStyle w:val="ListParagraph"/>
        <w:tabs>
          <w:tab w:val="left" w:pos="0"/>
        </w:tabs>
        <w:spacing w:after="0" w:line="240" w:lineRule="auto"/>
        <w:ind w:left="0"/>
        <w:jc w:val="both"/>
        <w:rPr>
          <w:rFonts w:ascii="Arial Narrow" w:hAnsi="Arial Narrow"/>
          <w:bCs/>
          <w:sz w:val="16"/>
          <w:szCs w:val="16"/>
        </w:rPr>
      </w:pPr>
    </w:p>
    <w:p w14:paraId="00924460" w14:textId="1CB9985B" w:rsidR="0061403F" w:rsidRPr="00A51745" w:rsidRDefault="0061403F" w:rsidP="00864030">
      <w:pPr>
        <w:pStyle w:val="ListParagraph"/>
        <w:tabs>
          <w:tab w:val="left" w:pos="0"/>
        </w:tabs>
        <w:spacing w:after="0" w:line="240" w:lineRule="auto"/>
        <w:ind w:left="0"/>
        <w:jc w:val="both"/>
        <w:rPr>
          <w:rFonts w:ascii="Arial Narrow" w:hAnsi="Arial Narrow"/>
          <w:bCs/>
          <w:szCs w:val="24"/>
        </w:rPr>
      </w:pPr>
      <w:r w:rsidRPr="00A51745">
        <w:rPr>
          <w:rFonts w:ascii="Arial Narrow" w:hAnsi="Arial Narrow"/>
          <w:bCs/>
          <w:szCs w:val="24"/>
        </w:rPr>
        <w:t>Sempre que alguma violação é identificada</w:t>
      </w:r>
      <w:r w:rsidR="00F557A9" w:rsidRPr="00A51745">
        <w:rPr>
          <w:rFonts w:ascii="Arial Narrow" w:hAnsi="Arial Narrow"/>
          <w:bCs/>
          <w:szCs w:val="24"/>
        </w:rPr>
        <w:t xml:space="preserve"> pelo</w:t>
      </w:r>
      <w:r w:rsidRPr="00A51745">
        <w:rPr>
          <w:rFonts w:ascii="Arial Narrow" w:hAnsi="Arial Narrow"/>
          <w:bCs/>
          <w:szCs w:val="24"/>
        </w:rPr>
        <w:t xml:space="preserve"> </w:t>
      </w:r>
      <w:r w:rsidR="00430CCA" w:rsidRPr="00A51745">
        <w:rPr>
          <w:rFonts w:ascii="Arial Narrow" w:hAnsi="Arial Narrow"/>
          <w:bCs/>
          <w:szCs w:val="24"/>
        </w:rPr>
        <w:t>departamento de</w:t>
      </w:r>
      <w:r w:rsidRPr="00A51745">
        <w:rPr>
          <w:rFonts w:ascii="Arial Narrow" w:hAnsi="Arial Narrow"/>
          <w:bCs/>
          <w:szCs w:val="24"/>
        </w:rPr>
        <w:t xml:space="preserve"> </w:t>
      </w:r>
      <w:r w:rsidR="005A5C9D" w:rsidRPr="00A51745">
        <w:rPr>
          <w:rFonts w:ascii="Arial Narrow" w:hAnsi="Arial Narrow"/>
          <w:bCs/>
          <w:szCs w:val="24"/>
        </w:rPr>
        <w:t xml:space="preserve"> o assunto será discutido com o </w:t>
      </w:r>
      <w:r w:rsidR="00B93142" w:rsidRPr="00A51745">
        <w:rPr>
          <w:rFonts w:ascii="Arial Narrow" w:hAnsi="Arial Narrow"/>
          <w:bCs/>
          <w:szCs w:val="24"/>
        </w:rPr>
        <w:t xml:space="preserve">representante </w:t>
      </w:r>
      <w:r w:rsidR="005A5C9D" w:rsidRPr="00A51745">
        <w:rPr>
          <w:rFonts w:ascii="Arial Narrow" w:hAnsi="Arial Narrow"/>
          <w:bCs/>
          <w:szCs w:val="24"/>
        </w:rPr>
        <w:t xml:space="preserve"> de </w:t>
      </w:r>
      <w:r w:rsidR="007E0DD7" w:rsidRPr="00A51745">
        <w:rPr>
          <w:rFonts w:ascii="Arial Narrow" w:hAnsi="Arial Narrow"/>
          <w:bCs/>
          <w:szCs w:val="24"/>
        </w:rPr>
        <w:t>Investment</w:t>
      </w:r>
      <w:r w:rsidR="005A5C9D" w:rsidRPr="00A51745">
        <w:rPr>
          <w:rFonts w:ascii="Arial Narrow" w:hAnsi="Arial Narrow"/>
          <w:bCs/>
          <w:szCs w:val="24"/>
        </w:rPr>
        <w:t xml:space="preserve"> Risk  da </w:t>
      </w:r>
      <w:r w:rsidR="00890523" w:rsidRPr="00A51745">
        <w:rPr>
          <w:rFonts w:ascii="Arial Narrow" w:hAnsi="Arial Narrow"/>
          <w:bCs/>
          <w:szCs w:val="24"/>
        </w:rPr>
        <w:t>abrdn</w:t>
      </w:r>
      <w:r w:rsidR="005A5C9D" w:rsidRPr="00A51745">
        <w:rPr>
          <w:rFonts w:ascii="Arial Narrow" w:hAnsi="Arial Narrow"/>
          <w:bCs/>
          <w:szCs w:val="24"/>
        </w:rPr>
        <w:t xml:space="preserve"> Brasil  </w:t>
      </w:r>
      <w:r w:rsidR="00B93142" w:rsidRPr="00A51745">
        <w:rPr>
          <w:rFonts w:ascii="Arial Narrow" w:hAnsi="Arial Narrow"/>
          <w:bCs/>
          <w:szCs w:val="24"/>
        </w:rPr>
        <w:t xml:space="preserve">para investigar </w:t>
      </w:r>
      <w:r w:rsidR="005A5C9D" w:rsidRPr="00A51745">
        <w:rPr>
          <w:rFonts w:ascii="Arial Narrow" w:hAnsi="Arial Narrow"/>
          <w:bCs/>
          <w:szCs w:val="24"/>
        </w:rPr>
        <w:t xml:space="preserve"> determinar </w:t>
      </w:r>
      <w:r w:rsidR="00B93142" w:rsidRPr="00A51745">
        <w:rPr>
          <w:rFonts w:ascii="Arial Narrow" w:hAnsi="Arial Narrow"/>
          <w:bCs/>
          <w:szCs w:val="24"/>
        </w:rPr>
        <w:t xml:space="preserve">sua natureza e a necessidade do assunto ser escalado ao </w:t>
      </w:r>
      <w:r w:rsidRPr="00A51745">
        <w:rPr>
          <w:rFonts w:ascii="Arial Narrow" w:hAnsi="Arial Narrow"/>
          <w:bCs/>
          <w:szCs w:val="24"/>
        </w:rPr>
        <w:t xml:space="preserve"> gestor de fundos </w:t>
      </w:r>
      <w:r w:rsidR="00B93142" w:rsidRPr="00A51745">
        <w:rPr>
          <w:rFonts w:ascii="Arial Narrow" w:hAnsi="Arial Narrow"/>
          <w:bCs/>
          <w:szCs w:val="24"/>
        </w:rPr>
        <w:t xml:space="preserve"> para </w:t>
      </w:r>
      <w:r w:rsidR="00A51745" w:rsidRPr="00A51745">
        <w:rPr>
          <w:rFonts w:ascii="Arial Narrow" w:hAnsi="Arial Narrow"/>
          <w:bCs/>
          <w:szCs w:val="24"/>
        </w:rPr>
        <w:t>discussão</w:t>
      </w:r>
      <w:r w:rsidR="00B93142" w:rsidRPr="00A51745">
        <w:rPr>
          <w:rFonts w:ascii="Arial Narrow" w:hAnsi="Arial Narrow"/>
          <w:bCs/>
          <w:szCs w:val="24"/>
        </w:rPr>
        <w:t xml:space="preserve"> e resolução da questão.</w:t>
      </w:r>
      <w:r w:rsidR="005A5C9D" w:rsidRPr="00A51745">
        <w:rPr>
          <w:rFonts w:ascii="Arial Narrow" w:hAnsi="Arial Narrow"/>
          <w:bCs/>
          <w:szCs w:val="24"/>
        </w:rPr>
        <w:t xml:space="preserve">. </w:t>
      </w:r>
      <w:r w:rsidR="00B93142" w:rsidRPr="00A51745">
        <w:rPr>
          <w:rFonts w:ascii="Arial Narrow" w:hAnsi="Arial Narrow"/>
          <w:bCs/>
          <w:szCs w:val="24"/>
        </w:rPr>
        <w:t xml:space="preserve">Quando </w:t>
      </w:r>
      <w:r w:rsidR="005A5C9D" w:rsidRPr="00A51745">
        <w:rPr>
          <w:rFonts w:ascii="Arial Narrow" w:hAnsi="Arial Narrow"/>
          <w:bCs/>
          <w:szCs w:val="24"/>
        </w:rPr>
        <w:t xml:space="preserve"> apropriado, </w:t>
      </w:r>
      <w:r w:rsidR="007E0DD7" w:rsidRPr="00A51745">
        <w:rPr>
          <w:rFonts w:ascii="Arial Narrow" w:hAnsi="Arial Narrow"/>
          <w:bCs/>
          <w:szCs w:val="24"/>
        </w:rPr>
        <w:t>melhorias</w:t>
      </w:r>
      <w:r w:rsidR="005A5C9D" w:rsidRPr="00A51745">
        <w:rPr>
          <w:rFonts w:ascii="Arial Narrow" w:hAnsi="Arial Narrow"/>
          <w:bCs/>
          <w:szCs w:val="24"/>
        </w:rPr>
        <w:t xml:space="preserve"> serão implementad</w:t>
      </w:r>
      <w:r w:rsidR="007E0DD7" w:rsidRPr="00A51745">
        <w:rPr>
          <w:rFonts w:ascii="Arial Narrow" w:hAnsi="Arial Narrow"/>
          <w:bCs/>
          <w:szCs w:val="24"/>
        </w:rPr>
        <w:t>a</w:t>
      </w:r>
      <w:r w:rsidR="005A5C9D" w:rsidRPr="00A51745">
        <w:rPr>
          <w:rFonts w:ascii="Arial Narrow" w:hAnsi="Arial Narrow"/>
          <w:bCs/>
          <w:szCs w:val="24"/>
        </w:rPr>
        <w:t xml:space="preserve">s a fim de prevenir novas ocorrências. </w:t>
      </w:r>
      <w:r w:rsidRPr="00A51745">
        <w:rPr>
          <w:rFonts w:ascii="Arial Narrow" w:hAnsi="Arial Narrow"/>
          <w:bCs/>
          <w:szCs w:val="24"/>
        </w:rPr>
        <w:t xml:space="preserve"> </w:t>
      </w:r>
    </w:p>
    <w:p w14:paraId="0655B7EC" w14:textId="77777777" w:rsidR="00433A13" w:rsidRPr="00A51745" w:rsidRDefault="00433A13" w:rsidP="00864030">
      <w:pPr>
        <w:pStyle w:val="ListParagraph"/>
        <w:tabs>
          <w:tab w:val="left" w:pos="0"/>
        </w:tabs>
        <w:spacing w:after="0" w:line="240" w:lineRule="auto"/>
        <w:ind w:left="0"/>
        <w:jc w:val="both"/>
        <w:rPr>
          <w:rFonts w:ascii="Arial Narrow" w:hAnsi="Arial Narrow"/>
          <w:bCs/>
          <w:szCs w:val="24"/>
        </w:rPr>
      </w:pPr>
    </w:p>
    <w:p w14:paraId="459AE4A1" w14:textId="77777777" w:rsidR="00903564" w:rsidRPr="00A51745" w:rsidRDefault="00903564" w:rsidP="00864030">
      <w:pPr>
        <w:pStyle w:val="ListParagraph"/>
        <w:tabs>
          <w:tab w:val="left" w:pos="0"/>
        </w:tabs>
        <w:spacing w:after="0" w:line="240" w:lineRule="auto"/>
        <w:ind w:left="0"/>
        <w:jc w:val="both"/>
        <w:rPr>
          <w:rFonts w:ascii="Arial Narrow" w:hAnsi="Arial Narrow"/>
          <w:b/>
          <w:szCs w:val="24"/>
        </w:rPr>
      </w:pPr>
    </w:p>
    <w:p w14:paraId="6AB3D6CF" w14:textId="77777777" w:rsidR="00324981" w:rsidRPr="00A51745" w:rsidRDefault="00324981" w:rsidP="00864030">
      <w:pPr>
        <w:pStyle w:val="ListParagraph"/>
        <w:tabs>
          <w:tab w:val="left" w:pos="0"/>
        </w:tabs>
        <w:spacing w:after="0" w:line="240" w:lineRule="auto"/>
        <w:ind w:left="0"/>
        <w:jc w:val="both"/>
        <w:rPr>
          <w:rFonts w:ascii="Arial Narrow" w:hAnsi="Arial Narrow"/>
          <w:bCs/>
          <w:szCs w:val="24"/>
        </w:rPr>
      </w:pPr>
    </w:p>
    <w:p w14:paraId="1044AB0E" w14:textId="5837C4E7" w:rsidR="0061403F" w:rsidRPr="00A51745" w:rsidRDefault="0061403F" w:rsidP="00864030">
      <w:pPr>
        <w:pStyle w:val="ListParagraph"/>
        <w:tabs>
          <w:tab w:val="left" w:pos="0"/>
        </w:tabs>
        <w:spacing w:after="0" w:line="240" w:lineRule="auto"/>
        <w:ind w:left="0"/>
        <w:jc w:val="both"/>
        <w:rPr>
          <w:rFonts w:ascii="Arial Narrow" w:hAnsi="Arial Narrow"/>
          <w:bCs/>
          <w:szCs w:val="24"/>
        </w:rPr>
      </w:pPr>
      <w:r w:rsidRPr="00A51745">
        <w:rPr>
          <w:rFonts w:ascii="Arial Narrow" w:hAnsi="Arial Narrow"/>
          <w:bCs/>
          <w:szCs w:val="24"/>
        </w:rPr>
        <w:t>Além disso, todas as violações</w:t>
      </w:r>
      <w:r w:rsidR="00890523" w:rsidRPr="00A51745">
        <w:rPr>
          <w:rFonts w:ascii="Arial Narrow" w:hAnsi="Arial Narrow"/>
          <w:bCs/>
          <w:szCs w:val="24"/>
        </w:rPr>
        <w:t xml:space="preserve"> </w:t>
      </w:r>
      <w:r w:rsidRPr="00A51745">
        <w:rPr>
          <w:rFonts w:ascii="Arial Narrow" w:hAnsi="Arial Narrow"/>
          <w:bCs/>
          <w:szCs w:val="24"/>
        </w:rPr>
        <w:t xml:space="preserve">são registradas no SHIELD, o sistema de risco operacional da </w:t>
      </w:r>
      <w:r w:rsidR="00D02A11" w:rsidRPr="00A51745">
        <w:rPr>
          <w:rFonts w:ascii="Arial Narrow" w:hAnsi="Arial Narrow"/>
          <w:bCs/>
          <w:szCs w:val="24"/>
        </w:rPr>
        <w:t>abrdn</w:t>
      </w:r>
      <w:r w:rsidRPr="00A51745">
        <w:rPr>
          <w:rFonts w:ascii="Arial Narrow" w:hAnsi="Arial Narrow"/>
          <w:bCs/>
          <w:szCs w:val="24"/>
        </w:rPr>
        <w:t xml:space="preserve">, de acordo com as políticas da </w:t>
      </w:r>
      <w:r w:rsidR="004A30D8" w:rsidRPr="00A51745">
        <w:rPr>
          <w:rFonts w:ascii="Arial Narrow" w:hAnsi="Arial Narrow"/>
          <w:bCs/>
          <w:szCs w:val="24"/>
        </w:rPr>
        <w:t xml:space="preserve">Empresa </w:t>
      </w:r>
      <w:r w:rsidRPr="00A51745">
        <w:rPr>
          <w:rFonts w:ascii="Arial Narrow" w:hAnsi="Arial Narrow"/>
          <w:bCs/>
          <w:szCs w:val="24"/>
        </w:rPr>
        <w:t xml:space="preserve">e dentro dos prazos estabelecidos. </w:t>
      </w:r>
      <w:r w:rsidR="00903564" w:rsidRPr="00A51745">
        <w:rPr>
          <w:rFonts w:ascii="Arial Narrow" w:hAnsi="Arial Narrow"/>
          <w:bCs/>
          <w:szCs w:val="24"/>
        </w:rPr>
        <w:t xml:space="preserve">O responsável pela gestão de riscos registrará as violações bem como  acompanhará seu progresso e resolução </w:t>
      </w:r>
      <w:r w:rsidRPr="00A51745">
        <w:rPr>
          <w:rFonts w:ascii="Arial Narrow" w:hAnsi="Arial Narrow"/>
          <w:bCs/>
          <w:szCs w:val="24"/>
        </w:rPr>
        <w:t>Este processo é supervisionado pelo representante local d</w:t>
      </w:r>
      <w:r w:rsidR="00414D2D" w:rsidRPr="00A51745">
        <w:rPr>
          <w:rFonts w:ascii="Arial Narrow" w:hAnsi="Arial Narrow"/>
          <w:bCs/>
          <w:szCs w:val="24"/>
        </w:rPr>
        <w:t>a equipe de I</w:t>
      </w:r>
      <w:r w:rsidR="003B782D" w:rsidRPr="00A51745">
        <w:rPr>
          <w:rFonts w:ascii="Arial Narrow" w:hAnsi="Arial Narrow"/>
          <w:bCs/>
          <w:szCs w:val="24"/>
        </w:rPr>
        <w:t>nvestment Risk</w:t>
      </w:r>
      <w:r w:rsidRPr="00A51745">
        <w:rPr>
          <w:rFonts w:ascii="Arial Narrow" w:hAnsi="Arial Narrow"/>
          <w:bCs/>
          <w:szCs w:val="24"/>
        </w:rPr>
        <w:t xml:space="preserve"> (</w:t>
      </w:r>
      <w:r w:rsidR="003B782D" w:rsidRPr="00A51745">
        <w:rPr>
          <w:rFonts w:ascii="Arial Narrow" w:hAnsi="Arial Narrow"/>
          <w:bCs/>
          <w:szCs w:val="24"/>
        </w:rPr>
        <w:t>abrdn</w:t>
      </w:r>
      <w:r w:rsidR="0017375A" w:rsidRPr="00A51745">
        <w:rPr>
          <w:rFonts w:ascii="Arial Narrow" w:hAnsi="Arial Narrow"/>
          <w:bCs/>
          <w:szCs w:val="24"/>
        </w:rPr>
        <w:t xml:space="preserve"> Brasil </w:t>
      </w:r>
      <w:r w:rsidRPr="00A51745">
        <w:rPr>
          <w:rFonts w:ascii="Arial Narrow" w:hAnsi="Arial Narrow"/>
          <w:bCs/>
          <w:szCs w:val="24"/>
        </w:rPr>
        <w:t>).</w:t>
      </w:r>
    </w:p>
    <w:p w14:paraId="3562E21F" w14:textId="77777777" w:rsidR="0081540B" w:rsidRPr="00A51745" w:rsidRDefault="0081540B" w:rsidP="00864030">
      <w:pPr>
        <w:pStyle w:val="ListParagraph"/>
        <w:tabs>
          <w:tab w:val="left" w:pos="284"/>
        </w:tabs>
        <w:spacing w:after="0" w:line="240" w:lineRule="auto"/>
        <w:ind w:left="0"/>
        <w:jc w:val="both"/>
        <w:rPr>
          <w:rFonts w:ascii="Arial Narrow" w:hAnsi="Arial Narrow"/>
          <w:sz w:val="24"/>
          <w:szCs w:val="24"/>
        </w:rPr>
      </w:pPr>
    </w:p>
    <w:p w14:paraId="6E5BE16B" w14:textId="2598AC42" w:rsidR="00D24262" w:rsidRPr="00A51745" w:rsidRDefault="00D24262" w:rsidP="00864030">
      <w:pPr>
        <w:pStyle w:val="ListParagraph"/>
        <w:tabs>
          <w:tab w:val="left" w:pos="284"/>
        </w:tabs>
        <w:spacing w:after="0" w:line="240" w:lineRule="auto"/>
        <w:ind w:left="0"/>
        <w:jc w:val="both"/>
        <w:rPr>
          <w:rFonts w:ascii="Arial Narrow" w:hAnsi="Arial Narrow"/>
          <w:b/>
          <w:bCs/>
        </w:rPr>
      </w:pPr>
    </w:p>
    <w:p w14:paraId="2D899548" w14:textId="52056CD1" w:rsidR="00FF4436" w:rsidRPr="00A51745" w:rsidRDefault="00FF4436" w:rsidP="00D24262">
      <w:pPr>
        <w:pStyle w:val="Default"/>
        <w:tabs>
          <w:tab w:val="left" w:pos="284"/>
        </w:tabs>
        <w:jc w:val="both"/>
        <w:rPr>
          <w:rFonts w:ascii="Arial Narrow" w:hAnsi="Arial Narrow" w:cs="Times New Roman"/>
          <w:b/>
          <w:color w:val="auto"/>
          <w:sz w:val="22"/>
          <w:u w:val="single"/>
        </w:rPr>
      </w:pPr>
      <w:r w:rsidRPr="00A51745">
        <w:rPr>
          <w:rFonts w:ascii="Arial Narrow" w:hAnsi="Arial Narrow" w:cs="Times New Roman"/>
          <w:b/>
          <w:color w:val="auto"/>
          <w:sz w:val="22"/>
          <w:u w:val="single"/>
        </w:rPr>
        <w:t>Definições*</w:t>
      </w:r>
    </w:p>
    <w:p w14:paraId="1230B2B7" w14:textId="77777777" w:rsidR="00433A13" w:rsidRPr="00A51745" w:rsidRDefault="00433A13" w:rsidP="00864030">
      <w:pPr>
        <w:pStyle w:val="ListParagraph"/>
        <w:tabs>
          <w:tab w:val="left" w:pos="284"/>
        </w:tabs>
        <w:spacing w:after="0" w:line="240" w:lineRule="auto"/>
        <w:ind w:left="0"/>
        <w:jc w:val="both"/>
        <w:rPr>
          <w:rFonts w:ascii="Arial Narrow" w:hAnsi="Arial Narrow"/>
          <w:sz w:val="16"/>
          <w:szCs w:val="16"/>
        </w:rPr>
      </w:pPr>
    </w:p>
    <w:p w14:paraId="7144DBDD" w14:textId="31D70B6D" w:rsidR="00390407" w:rsidRPr="00A51745" w:rsidRDefault="00D5338A" w:rsidP="00864030">
      <w:pPr>
        <w:pStyle w:val="ListParagraph"/>
        <w:tabs>
          <w:tab w:val="left" w:pos="284"/>
        </w:tabs>
        <w:spacing w:after="0" w:line="240" w:lineRule="auto"/>
        <w:ind w:left="0"/>
        <w:jc w:val="both"/>
        <w:rPr>
          <w:rFonts w:ascii="Arial Narrow" w:hAnsi="Arial Narrow"/>
        </w:rPr>
      </w:pPr>
      <w:r w:rsidRPr="00A51745">
        <w:rPr>
          <w:rFonts w:ascii="Arial Narrow" w:hAnsi="Arial Narrow"/>
        </w:rPr>
        <w:t xml:space="preserve"> </w:t>
      </w:r>
      <w:r w:rsidR="000374A5" w:rsidRPr="00A51745">
        <w:rPr>
          <w:rFonts w:ascii="Arial Narrow" w:hAnsi="Arial Narrow"/>
        </w:rPr>
        <w:t>I</w:t>
      </w:r>
      <w:r w:rsidRPr="00A51745">
        <w:rPr>
          <w:rFonts w:ascii="Arial Narrow" w:hAnsi="Arial Narrow"/>
        </w:rPr>
        <w:t>nvestimentos estão expostos a vários tipos de risco, todos os quais podendo ter impacto sobre o portfólio. Estes podem ser categorizados em:</w:t>
      </w:r>
    </w:p>
    <w:p w14:paraId="79B38EC4" w14:textId="77777777" w:rsidR="00433A13" w:rsidRPr="00A51745" w:rsidRDefault="00433A13" w:rsidP="00864030">
      <w:pPr>
        <w:pStyle w:val="ListParagraph"/>
        <w:tabs>
          <w:tab w:val="left" w:pos="284"/>
        </w:tabs>
        <w:spacing w:after="0" w:line="240" w:lineRule="auto"/>
        <w:ind w:left="0"/>
        <w:jc w:val="both"/>
        <w:rPr>
          <w:rFonts w:ascii="Arial Narrow" w:hAnsi="Arial Narrow"/>
        </w:rPr>
      </w:pPr>
    </w:p>
    <w:p w14:paraId="7878DB2D" w14:textId="0C6B1A81" w:rsidR="00B12A00" w:rsidRPr="00A51745" w:rsidRDefault="00B12A00" w:rsidP="00B12A00">
      <w:pPr>
        <w:pStyle w:val="ListParagraph"/>
        <w:tabs>
          <w:tab w:val="left" w:pos="360"/>
        </w:tabs>
        <w:spacing w:after="0" w:line="240" w:lineRule="auto"/>
        <w:ind w:left="360" w:hanging="360"/>
        <w:jc w:val="both"/>
        <w:rPr>
          <w:rFonts w:ascii="Arial Narrow" w:hAnsi="Arial Narrow"/>
          <w:i/>
        </w:rPr>
      </w:pPr>
      <w:r w:rsidRPr="00A51745">
        <w:rPr>
          <w:rFonts w:ascii="Arial Narrow" w:hAnsi="Arial Narrow"/>
          <w:b/>
          <w:sz w:val="18"/>
        </w:rPr>
        <w:t>*</w:t>
      </w:r>
      <w:r w:rsidRPr="00A51745">
        <w:rPr>
          <w:rFonts w:ascii="Arial Narrow" w:hAnsi="Arial Narrow"/>
          <w:i/>
        </w:rPr>
        <w:tab/>
        <w:t>Observe que o resumo d</w:t>
      </w:r>
      <w:r w:rsidR="000D4911" w:rsidRPr="00A51745">
        <w:rPr>
          <w:rFonts w:ascii="Arial Narrow" w:hAnsi="Arial Narrow"/>
          <w:i/>
        </w:rPr>
        <w:t xml:space="preserve">e </w:t>
      </w:r>
      <w:r w:rsidRPr="00A51745">
        <w:rPr>
          <w:rFonts w:ascii="Arial Narrow" w:hAnsi="Arial Narrow"/>
          <w:i/>
        </w:rPr>
        <w:t xml:space="preserve"> risco de </w:t>
      </w:r>
      <w:r w:rsidR="000D4911" w:rsidRPr="00A51745">
        <w:rPr>
          <w:rFonts w:ascii="Arial Narrow" w:hAnsi="Arial Narrow"/>
          <w:i/>
        </w:rPr>
        <w:t>mercado</w:t>
      </w:r>
      <w:r w:rsidRPr="00A51745">
        <w:rPr>
          <w:rFonts w:ascii="Arial Narrow" w:hAnsi="Arial Narrow"/>
          <w:i/>
        </w:rPr>
        <w:t xml:space="preserve">/definições é uma visão geral dos riscos avaliados como parte do processo </w:t>
      </w:r>
      <w:r w:rsidR="00454235" w:rsidRPr="00A51745">
        <w:rPr>
          <w:rFonts w:ascii="Arial Narrow" w:hAnsi="Arial Narrow"/>
          <w:i/>
        </w:rPr>
        <w:t xml:space="preserve">da política de risco </w:t>
      </w:r>
      <w:r w:rsidRPr="00A51745">
        <w:rPr>
          <w:rFonts w:ascii="Arial Narrow" w:hAnsi="Arial Narrow"/>
          <w:i/>
        </w:rPr>
        <w:t xml:space="preserve">e não </w:t>
      </w:r>
      <w:r w:rsidR="000D4911" w:rsidRPr="00A51745">
        <w:rPr>
          <w:rFonts w:ascii="Arial Narrow" w:hAnsi="Arial Narrow"/>
          <w:i/>
        </w:rPr>
        <w:t xml:space="preserve">deve </w:t>
      </w:r>
      <w:r w:rsidRPr="00A51745">
        <w:rPr>
          <w:rFonts w:ascii="Arial Narrow" w:hAnsi="Arial Narrow"/>
          <w:i/>
        </w:rPr>
        <w:t xml:space="preserve">ser considerado </w:t>
      </w:r>
      <w:r w:rsidR="00454235" w:rsidRPr="00A51745">
        <w:rPr>
          <w:rFonts w:ascii="Arial Narrow" w:hAnsi="Arial Narrow"/>
          <w:i/>
        </w:rPr>
        <w:t xml:space="preserve">como </w:t>
      </w:r>
      <w:r w:rsidRPr="00A51745">
        <w:rPr>
          <w:rFonts w:ascii="Arial Narrow" w:hAnsi="Arial Narrow"/>
          <w:i/>
        </w:rPr>
        <w:t xml:space="preserve">exaustivo. </w:t>
      </w:r>
    </w:p>
    <w:p w14:paraId="4F7D55CB" w14:textId="77777777" w:rsidR="00B12A00" w:rsidRPr="00A51745" w:rsidRDefault="00B12A00" w:rsidP="00864030">
      <w:pPr>
        <w:pStyle w:val="ListParagraph"/>
        <w:tabs>
          <w:tab w:val="left" w:pos="284"/>
        </w:tabs>
        <w:spacing w:after="0" w:line="240" w:lineRule="auto"/>
        <w:ind w:left="0"/>
        <w:jc w:val="both"/>
        <w:rPr>
          <w:rFonts w:ascii="Arial Narrow" w:hAnsi="Arial Narrow"/>
        </w:rPr>
      </w:pPr>
    </w:p>
    <w:p w14:paraId="16511DBF" w14:textId="03E46F1B" w:rsidR="00FF4436" w:rsidRPr="00A51745" w:rsidRDefault="00FF4436" w:rsidP="00AF2845">
      <w:pPr>
        <w:pStyle w:val="ListParagraph"/>
        <w:numPr>
          <w:ilvl w:val="0"/>
          <w:numId w:val="1"/>
        </w:numPr>
        <w:tabs>
          <w:tab w:val="left" w:pos="284"/>
        </w:tabs>
        <w:spacing w:after="0" w:line="240" w:lineRule="auto"/>
        <w:ind w:left="0" w:firstLine="0"/>
        <w:jc w:val="both"/>
        <w:rPr>
          <w:rFonts w:ascii="Arial Narrow" w:hAnsi="Arial Narrow"/>
          <w:b/>
          <w:bCs/>
        </w:rPr>
      </w:pPr>
      <w:r w:rsidRPr="00A51745">
        <w:rPr>
          <w:rFonts w:ascii="Arial Narrow" w:hAnsi="Arial Narrow"/>
          <w:b/>
          <w:bCs/>
        </w:rPr>
        <w:t xml:space="preserve">Risco de </w:t>
      </w:r>
      <w:r w:rsidR="000D4911" w:rsidRPr="00A51745">
        <w:rPr>
          <w:rFonts w:ascii="Arial Narrow" w:hAnsi="Arial Narrow"/>
          <w:b/>
          <w:bCs/>
        </w:rPr>
        <w:t>Mercado</w:t>
      </w:r>
    </w:p>
    <w:p w14:paraId="40EEE96D" w14:textId="77777777" w:rsidR="00433A13" w:rsidRPr="00A51745" w:rsidRDefault="00433A13" w:rsidP="00864030">
      <w:pPr>
        <w:pStyle w:val="ListParagraph"/>
        <w:tabs>
          <w:tab w:val="left" w:pos="284"/>
        </w:tabs>
        <w:autoSpaceDE w:val="0"/>
        <w:autoSpaceDN w:val="0"/>
        <w:adjustRightInd w:val="0"/>
        <w:spacing w:after="0" w:line="240" w:lineRule="auto"/>
        <w:ind w:left="0"/>
        <w:jc w:val="both"/>
        <w:rPr>
          <w:rFonts w:ascii="Arial Narrow" w:hAnsi="Arial Narrow" w:cs="Bliss Light"/>
          <w:sz w:val="14"/>
          <w:szCs w:val="14"/>
        </w:rPr>
      </w:pPr>
    </w:p>
    <w:p w14:paraId="3B7A4E45" w14:textId="21DE2958" w:rsidR="00C62D94" w:rsidRPr="00A51745" w:rsidRDefault="00C62D94" w:rsidP="00864030">
      <w:pPr>
        <w:pStyle w:val="ListParagraph"/>
        <w:tabs>
          <w:tab w:val="left" w:pos="284"/>
        </w:tabs>
        <w:autoSpaceDE w:val="0"/>
        <w:autoSpaceDN w:val="0"/>
        <w:adjustRightInd w:val="0"/>
        <w:spacing w:after="0" w:line="240" w:lineRule="auto"/>
        <w:ind w:left="0"/>
        <w:jc w:val="both"/>
        <w:rPr>
          <w:rFonts w:ascii="Arial Narrow" w:hAnsi="Arial Narrow"/>
        </w:rPr>
      </w:pPr>
      <w:r w:rsidRPr="00A51745">
        <w:rPr>
          <w:rFonts w:ascii="Arial Narrow" w:hAnsi="Arial Narrow"/>
        </w:rPr>
        <w:t>Para os fins desta Política, a definição de Risco de Mercado significa o risco de que eventos econômicos, de mercado ou idiossincráticos causem uma mudança no valor de mercado dos ativos do Cliente. Esses riscos surgem de fatores sistemáticos e idiossincráticos. O risco sistemático decorre de qualquer fator que cause uma alteração na avaliação de grupos de ativos. Esses fatores podem emergir de várias fontes, incluindo,</w:t>
      </w:r>
      <w:r w:rsidRPr="00A51745">
        <w:rPr>
          <w:rFonts w:ascii="Arial Narrow" w:hAnsi="Arial Narrow"/>
          <w:sz w:val="42"/>
          <w:szCs w:val="42"/>
          <w:lang w:val="pt-PT"/>
        </w:rPr>
        <w:t xml:space="preserve"> </w:t>
      </w:r>
      <w:r w:rsidRPr="00A51745">
        <w:rPr>
          <w:rFonts w:ascii="Arial Narrow" w:hAnsi="Arial Narrow"/>
        </w:rPr>
        <w:t xml:space="preserve">entre outras, condições econômicas, eventos ou ações políticas, ações de bancos centrais ou formuladores de políticas, eventos da </w:t>
      </w:r>
      <w:r w:rsidR="00F27964" w:rsidRPr="00A51745">
        <w:rPr>
          <w:rFonts w:ascii="Arial Narrow" w:hAnsi="Arial Narrow"/>
        </w:rPr>
        <w:t>indústria</w:t>
      </w:r>
      <w:r w:rsidRPr="00A51745">
        <w:rPr>
          <w:rFonts w:ascii="Arial Narrow" w:hAnsi="Arial Narrow"/>
        </w:rPr>
        <w:t xml:space="preserve"> ou, de fato, comportamento de investidores e apetite por riscos. Riscos idiossincráticos são aqueles relacionados a entidades ou valores mobiliários únicos.</w:t>
      </w:r>
    </w:p>
    <w:p w14:paraId="6500C6B2" w14:textId="77777777" w:rsidR="00D5082D" w:rsidRPr="00A51745" w:rsidRDefault="00D5082D" w:rsidP="00864030">
      <w:pPr>
        <w:pStyle w:val="ListParagraph"/>
        <w:tabs>
          <w:tab w:val="left" w:pos="0"/>
        </w:tabs>
        <w:spacing w:after="0" w:line="240" w:lineRule="auto"/>
        <w:ind w:left="0"/>
        <w:jc w:val="both"/>
        <w:rPr>
          <w:rFonts w:ascii="Arial Narrow" w:hAnsi="Arial Narrow"/>
        </w:rPr>
      </w:pPr>
    </w:p>
    <w:p w14:paraId="69D396BE" w14:textId="1DA8F908" w:rsidR="00FF4436" w:rsidRPr="00A51745" w:rsidRDefault="00FF4436" w:rsidP="00864030">
      <w:pPr>
        <w:pStyle w:val="ListParagraph"/>
        <w:tabs>
          <w:tab w:val="left" w:pos="0"/>
        </w:tabs>
        <w:spacing w:after="0" w:line="240" w:lineRule="auto"/>
        <w:ind w:left="0"/>
        <w:jc w:val="both"/>
        <w:rPr>
          <w:rFonts w:ascii="Arial Narrow" w:hAnsi="Arial Narrow"/>
        </w:rPr>
      </w:pPr>
      <w:r w:rsidRPr="00A51745">
        <w:rPr>
          <w:rFonts w:ascii="Arial Narrow" w:hAnsi="Arial Narrow"/>
        </w:rPr>
        <w:t>Os portfólios estão sujeitos a muitas subcategorias de risco de mercado. Muitos destes riscos estão interligados e não se excluem mutuamente. Abaixo encontra-se uma lista não exaustiva d</w:t>
      </w:r>
      <w:r w:rsidR="000B70C3" w:rsidRPr="00A51745">
        <w:rPr>
          <w:rFonts w:ascii="Arial Narrow" w:hAnsi="Arial Narrow"/>
        </w:rPr>
        <w:t xml:space="preserve">estes </w:t>
      </w:r>
      <w:r w:rsidRPr="00A51745">
        <w:rPr>
          <w:rFonts w:ascii="Arial Narrow" w:hAnsi="Arial Narrow"/>
        </w:rPr>
        <w:t>:</w:t>
      </w:r>
    </w:p>
    <w:p w14:paraId="754AEF6E" w14:textId="77777777" w:rsidR="00872C42" w:rsidRPr="00A51745" w:rsidRDefault="00872C42" w:rsidP="00CC626A">
      <w:pPr>
        <w:tabs>
          <w:tab w:val="left" w:pos="284"/>
        </w:tabs>
        <w:jc w:val="both"/>
        <w:rPr>
          <w:rFonts w:ascii="Arial Narrow" w:hAnsi="Arial Narrow"/>
        </w:rPr>
      </w:pPr>
    </w:p>
    <w:p w14:paraId="56D04B31" w14:textId="1CFBF504" w:rsidR="00FF4436" w:rsidRPr="00A51745" w:rsidRDefault="000B70C3" w:rsidP="000B1E46">
      <w:pPr>
        <w:pStyle w:val="ListParagraph"/>
        <w:tabs>
          <w:tab w:val="left" w:pos="360"/>
        </w:tabs>
        <w:autoSpaceDE w:val="0"/>
        <w:autoSpaceDN w:val="0"/>
        <w:adjustRightInd w:val="0"/>
        <w:spacing w:after="0" w:line="240" w:lineRule="auto"/>
        <w:ind w:left="360"/>
        <w:jc w:val="both"/>
        <w:rPr>
          <w:rFonts w:ascii="Arial Narrow" w:hAnsi="Arial Narrow" w:cs="Bliss Light"/>
        </w:rPr>
      </w:pPr>
      <w:r w:rsidRPr="00A51745">
        <w:rPr>
          <w:rFonts w:ascii="Arial Narrow" w:hAnsi="Arial Narrow"/>
          <w:b/>
        </w:rPr>
        <w:t xml:space="preserve">a1) </w:t>
      </w:r>
      <w:r w:rsidR="00FF4436" w:rsidRPr="00A51745">
        <w:rPr>
          <w:rFonts w:ascii="Arial Narrow" w:hAnsi="Arial Narrow"/>
          <w:b/>
        </w:rPr>
        <w:t>Riscos Gerais de Mercado que Afetam Todos os Tipos de Ativos</w:t>
      </w:r>
      <w:r w:rsidR="00FF4436" w:rsidRPr="00A51745">
        <w:rPr>
          <w:rFonts w:ascii="Arial Narrow" w:hAnsi="Arial Narrow"/>
        </w:rPr>
        <w:t xml:space="preserve"> </w:t>
      </w:r>
    </w:p>
    <w:p w14:paraId="08F3526E" w14:textId="77777777" w:rsidR="000B70C3" w:rsidRPr="00A51745" w:rsidRDefault="000B70C3" w:rsidP="00D5082D">
      <w:pPr>
        <w:pStyle w:val="ListParagraph"/>
        <w:autoSpaceDE w:val="0"/>
        <w:autoSpaceDN w:val="0"/>
        <w:adjustRightInd w:val="0"/>
        <w:spacing w:after="0" w:line="240" w:lineRule="auto"/>
        <w:ind w:left="360"/>
        <w:jc w:val="both"/>
        <w:rPr>
          <w:rFonts w:ascii="Arial Narrow" w:hAnsi="Arial Narrow"/>
        </w:rPr>
      </w:pPr>
    </w:p>
    <w:p w14:paraId="579C8A63" w14:textId="4A6F3B45" w:rsidR="00FF4436" w:rsidRPr="00A51745" w:rsidRDefault="00FF4436" w:rsidP="000B1E46">
      <w:pPr>
        <w:pStyle w:val="ListParagraph"/>
        <w:numPr>
          <w:ilvl w:val="0"/>
          <w:numId w:val="30"/>
        </w:numPr>
        <w:tabs>
          <w:tab w:val="left" w:pos="720"/>
        </w:tabs>
        <w:autoSpaceDE w:val="0"/>
        <w:autoSpaceDN w:val="0"/>
        <w:adjustRightInd w:val="0"/>
        <w:spacing w:after="0" w:line="240" w:lineRule="auto"/>
        <w:jc w:val="both"/>
        <w:rPr>
          <w:rFonts w:ascii="Arial Narrow" w:hAnsi="Arial Narrow" w:cs="Bliss Light"/>
        </w:rPr>
      </w:pPr>
      <w:r w:rsidRPr="00A51745">
        <w:rPr>
          <w:rFonts w:ascii="Arial Narrow" w:hAnsi="Arial Narrow"/>
          <w:b/>
          <w:bCs/>
        </w:rPr>
        <w:t>Risco-país</w:t>
      </w:r>
      <w:r w:rsidRPr="00A51745">
        <w:rPr>
          <w:rFonts w:ascii="Arial Narrow" w:hAnsi="Arial Narrow"/>
        </w:rPr>
        <w:t xml:space="preserve">, uma mudança adversa nas perspectivas </w:t>
      </w:r>
      <w:r w:rsidR="00CD2FFD" w:rsidRPr="00A51745">
        <w:rPr>
          <w:rFonts w:ascii="Arial Narrow" w:hAnsi="Arial Narrow"/>
        </w:rPr>
        <w:t xml:space="preserve">de </w:t>
      </w:r>
      <w:r w:rsidRPr="00A51745">
        <w:rPr>
          <w:rFonts w:ascii="Arial Narrow" w:hAnsi="Arial Narrow"/>
        </w:rPr>
        <w:t xml:space="preserve">um país pode resultar na queda do preço geral dos ativos naquele país e </w:t>
      </w:r>
      <w:r w:rsidR="00CD2FFD" w:rsidRPr="00A51745">
        <w:rPr>
          <w:rFonts w:ascii="Arial Narrow" w:hAnsi="Arial Narrow"/>
        </w:rPr>
        <w:t xml:space="preserve">em </w:t>
      </w:r>
      <w:r w:rsidRPr="00A51745">
        <w:rPr>
          <w:rFonts w:ascii="Arial Narrow" w:hAnsi="Arial Narrow"/>
        </w:rPr>
        <w:t xml:space="preserve">perda </w:t>
      </w:r>
      <w:r w:rsidR="00CD2FFD" w:rsidRPr="00A51745">
        <w:rPr>
          <w:rFonts w:ascii="Arial Narrow" w:hAnsi="Arial Narrow"/>
        </w:rPr>
        <w:t xml:space="preserve">para o </w:t>
      </w:r>
      <w:r w:rsidRPr="00A51745">
        <w:rPr>
          <w:rFonts w:ascii="Arial Narrow" w:hAnsi="Arial Narrow"/>
        </w:rPr>
        <w:t xml:space="preserve">portfólio. Os mercados emergentes e os países fronteiriços, por sua natureza, tendem, como um todo, a ser mais arriscados do que os países desenvolvidos. </w:t>
      </w:r>
    </w:p>
    <w:p w14:paraId="3C111219" w14:textId="77777777" w:rsidR="001B3793" w:rsidRPr="00A51745" w:rsidRDefault="001B3793" w:rsidP="000B1E46">
      <w:pPr>
        <w:pStyle w:val="ListParagraph"/>
        <w:tabs>
          <w:tab w:val="left" w:pos="720"/>
        </w:tabs>
        <w:autoSpaceDE w:val="0"/>
        <w:autoSpaceDN w:val="0"/>
        <w:adjustRightInd w:val="0"/>
        <w:spacing w:after="0" w:line="240" w:lineRule="auto"/>
        <w:jc w:val="both"/>
        <w:rPr>
          <w:rFonts w:ascii="Arial Narrow" w:hAnsi="Arial Narrow" w:cs="Bliss Light"/>
        </w:rPr>
      </w:pPr>
    </w:p>
    <w:p w14:paraId="4FA33C8C" w14:textId="77777777" w:rsidR="001B3793" w:rsidRPr="00A51745" w:rsidRDefault="00FF4436" w:rsidP="000B1E46">
      <w:pPr>
        <w:pStyle w:val="ListParagraph"/>
        <w:widowControl w:val="0"/>
        <w:numPr>
          <w:ilvl w:val="0"/>
          <w:numId w:val="30"/>
        </w:numPr>
        <w:tabs>
          <w:tab w:val="left" w:pos="720"/>
        </w:tabs>
        <w:autoSpaceDE w:val="0"/>
        <w:autoSpaceDN w:val="0"/>
        <w:adjustRightInd w:val="0"/>
        <w:spacing w:after="0" w:line="240" w:lineRule="auto"/>
        <w:jc w:val="both"/>
        <w:rPr>
          <w:rFonts w:ascii="Arial Narrow" w:hAnsi="Arial Narrow" w:cstheme="minorBidi"/>
        </w:rPr>
      </w:pPr>
      <w:r w:rsidRPr="00A51745">
        <w:rPr>
          <w:rFonts w:ascii="Arial Narrow" w:hAnsi="Arial Narrow"/>
          <w:b/>
          <w:bCs/>
        </w:rPr>
        <w:t>Risco setorial</w:t>
      </w:r>
      <w:r w:rsidRPr="00A51745">
        <w:rPr>
          <w:rFonts w:ascii="Arial Narrow" w:hAnsi="Arial Narrow"/>
        </w:rPr>
        <w:t xml:space="preserve">, quando as perspectivas </w:t>
      </w:r>
      <w:r w:rsidR="00CD2FFD" w:rsidRPr="00A51745">
        <w:rPr>
          <w:rFonts w:ascii="Arial Narrow" w:hAnsi="Arial Narrow"/>
        </w:rPr>
        <w:t xml:space="preserve">de </w:t>
      </w:r>
      <w:r w:rsidRPr="00A51745">
        <w:rPr>
          <w:rFonts w:ascii="Arial Narrow" w:hAnsi="Arial Narrow"/>
        </w:rPr>
        <w:t xml:space="preserve">um setor se alteram (p.ex. setor de Petróleo e Gás), o preço geral dos ativos financeiros em tal setor se ajusta, o que pode ter impacto sobre o portfólio e sobre os ativos financeiros detidos. </w:t>
      </w:r>
    </w:p>
    <w:p w14:paraId="75F01249" w14:textId="77777777" w:rsidR="001B3793" w:rsidRPr="00A51745" w:rsidRDefault="001B3793" w:rsidP="00356520">
      <w:pPr>
        <w:pStyle w:val="ListParagraph"/>
        <w:widowControl w:val="0"/>
        <w:tabs>
          <w:tab w:val="left" w:pos="720"/>
        </w:tabs>
        <w:autoSpaceDE w:val="0"/>
        <w:autoSpaceDN w:val="0"/>
        <w:adjustRightInd w:val="0"/>
        <w:spacing w:after="0" w:line="240" w:lineRule="auto"/>
        <w:jc w:val="both"/>
        <w:rPr>
          <w:rFonts w:ascii="Arial Narrow" w:hAnsi="Arial Narrow" w:cstheme="minorBidi"/>
        </w:rPr>
      </w:pPr>
    </w:p>
    <w:p w14:paraId="00FE7CA7" w14:textId="39D65600" w:rsidR="00287AC6" w:rsidRPr="00A51745" w:rsidRDefault="00FF4436" w:rsidP="000B1E46">
      <w:pPr>
        <w:pStyle w:val="ListParagraph"/>
        <w:pageBreakBefore/>
        <w:numPr>
          <w:ilvl w:val="0"/>
          <w:numId w:val="31"/>
        </w:numPr>
        <w:tabs>
          <w:tab w:val="left" w:pos="720"/>
        </w:tabs>
        <w:autoSpaceDE w:val="0"/>
        <w:autoSpaceDN w:val="0"/>
        <w:adjustRightInd w:val="0"/>
        <w:spacing w:after="0" w:line="240" w:lineRule="auto"/>
        <w:jc w:val="both"/>
        <w:rPr>
          <w:rFonts w:ascii="Arial Narrow" w:hAnsi="Arial Narrow" w:cstheme="minorBidi"/>
        </w:rPr>
      </w:pPr>
      <w:r w:rsidRPr="00A51745">
        <w:rPr>
          <w:rFonts w:ascii="Arial Narrow" w:hAnsi="Arial Narrow"/>
          <w:b/>
          <w:bCs/>
        </w:rPr>
        <w:lastRenderedPageBreak/>
        <w:t>Risco d</w:t>
      </w:r>
      <w:r w:rsidR="001B3793" w:rsidRPr="00A51745">
        <w:rPr>
          <w:rFonts w:ascii="Arial Narrow" w:hAnsi="Arial Narrow"/>
          <w:b/>
          <w:bCs/>
        </w:rPr>
        <w:t>a</w:t>
      </w:r>
      <w:r w:rsidRPr="00A51745">
        <w:rPr>
          <w:rFonts w:ascii="Arial Narrow" w:hAnsi="Arial Narrow"/>
          <w:b/>
          <w:bCs/>
        </w:rPr>
        <w:t xml:space="preserve"> classe de ativos</w:t>
      </w:r>
      <w:r w:rsidRPr="00A51745">
        <w:rPr>
          <w:rFonts w:ascii="Arial Narrow" w:hAnsi="Arial Narrow"/>
        </w:rPr>
        <w:t xml:space="preserve">, quando as perspectivas </w:t>
      </w:r>
      <w:r w:rsidR="00CD2FFD" w:rsidRPr="00A51745">
        <w:rPr>
          <w:rFonts w:ascii="Arial Narrow" w:hAnsi="Arial Narrow"/>
        </w:rPr>
        <w:t xml:space="preserve">de </w:t>
      </w:r>
      <w:r w:rsidRPr="00A51745">
        <w:rPr>
          <w:rFonts w:ascii="Arial Narrow" w:hAnsi="Arial Narrow"/>
        </w:rPr>
        <w:t xml:space="preserve">uma determinada classe de ativos (p.ex. </w:t>
      </w:r>
      <w:r w:rsidR="00584458" w:rsidRPr="00A51745">
        <w:rPr>
          <w:rFonts w:ascii="Arial Narrow" w:hAnsi="Arial Narrow"/>
        </w:rPr>
        <w:t>renda fixa</w:t>
      </w:r>
      <w:r w:rsidRPr="00A51745">
        <w:rPr>
          <w:rFonts w:ascii="Arial Narrow" w:hAnsi="Arial Narrow"/>
        </w:rPr>
        <w:t xml:space="preserve">) se alteram, o preço geral dos ativos financeiros de tal classe de ativos se ajusta, o que pode ter um impacto sobre o portfólio e sobre os ativos financeiros detidos. </w:t>
      </w:r>
      <w:r w:rsidR="00F27964" w:rsidRPr="00A51745">
        <w:rPr>
          <w:rFonts w:ascii="Arial Narrow" w:hAnsi="Arial Narrow"/>
          <w:b/>
          <w:bCs/>
        </w:rPr>
        <w:t>R</w:t>
      </w:r>
      <w:r w:rsidR="00287AC6" w:rsidRPr="00A51745">
        <w:rPr>
          <w:rFonts w:ascii="Arial Narrow" w:hAnsi="Arial Narrow"/>
          <w:b/>
          <w:bCs/>
        </w:rPr>
        <w:t>isco de inflação/deflação</w:t>
      </w:r>
      <w:r w:rsidR="00287AC6" w:rsidRPr="00A51745">
        <w:rPr>
          <w:rFonts w:ascii="Arial Narrow" w:hAnsi="Arial Narrow"/>
        </w:rPr>
        <w:t>, o risco de que o valor dos ativos ou rendimentos de investimentos possa valer menos no futuro, uma vez que a inflação desvaloriza a moeda.</w:t>
      </w:r>
    </w:p>
    <w:p w14:paraId="3E00BAE8" w14:textId="77777777" w:rsidR="00287AC6" w:rsidRPr="00A51745" w:rsidRDefault="00287AC6" w:rsidP="00287AC6">
      <w:pPr>
        <w:pStyle w:val="ListParagraph"/>
        <w:tabs>
          <w:tab w:val="left" w:pos="720"/>
        </w:tabs>
        <w:autoSpaceDE w:val="0"/>
        <w:autoSpaceDN w:val="0"/>
        <w:adjustRightInd w:val="0"/>
        <w:spacing w:after="0" w:line="240" w:lineRule="auto"/>
        <w:ind w:hanging="360"/>
        <w:jc w:val="both"/>
        <w:rPr>
          <w:rFonts w:ascii="Arial Narrow" w:hAnsi="Arial Narrow" w:cs="Bliss Light"/>
          <w:sz w:val="16"/>
          <w:szCs w:val="16"/>
        </w:rPr>
      </w:pPr>
    </w:p>
    <w:p w14:paraId="3D0F1E84" w14:textId="49DF1EAC" w:rsidR="00287AC6" w:rsidRPr="00A51745" w:rsidRDefault="00287AC6" w:rsidP="000B1E46">
      <w:pPr>
        <w:pStyle w:val="ListParagraph"/>
        <w:numPr>
          <w:ilvl w:val="0"/>
          <w:numId w:val="31"/>
        </w:numPr>
        <w:tabs>
          <w:tab w:val="left" w:pos="720"/>
        </w:tabs>
        <w:autoSpaceDE w:val="0"/>
        <w:autoSpaceDN w:val="0"/>
        <w:adjustRightInd w:val="0"/>
        <w:spacing w:after="0" w:line="240" w:lineRule="auto"/>
        <w:jc w:val="both"/>
        <w:rPr>
          <w:rFonts w:ascii="Arial Narrow" w:hAnsi="Arial Narrow" w:cs="Bliss Light"/>
        </w:rPr>
      </w:pPr>
      <w:r w:rsidRPr="00A51745">
        <w:rPr>
          <w:rFonts w:ascii="Arial Narrow" w:hAnsi="Arial Narrow"/>
          <w:b/>
          <w:bCs/>
        </w:rPr>
        <w:t>Risco de taxa de juro</w:t>
      </w:r>
      <w:r w:rsidRPr="00A51745">
        <w:rPr>
          <w:rFonts w:ascii="Arial Narrow" w:hAnsi="Arial Narrow"/>
        </w:rPr>
        <w:t>, uma alteração desfavorável nas taxas de juro</w:t>
      </w:r>
      <w:r w:rsidR="00584458" w:rsidRPr="00A51745">
        <w:rPr>
          <w:rFonts w:ascii="Arial Narrow" w:hAnsi="Arial Narrow"/>
        </w:rPr>
        <w:t>s</w:t>
      </w:r>
      <w:r w:rsidRPr="00A51745">
        <w:rPr>
          <w:rFonts w:ascii="Arial Narrow" w:hAnsi="Arial Narrow"/>
        </w:rPr>
        <w:t xml:space="preserve"> pode afetar o preço de um ativo financeiro,  que por sua vez pode ter um impacto sobre o portfólio gerando perdas. As mudanças nas taxas de juro não afetam apenas os produtos de renda fixa, mas também têm impactos significativos sobre os custos de financiamento e outros tipos de ativos. </w:t>
      </w:r>
    </w:p>
    <w:p w14:paraId="081270CB" w14:textId="77777777" w:rsidR="00287AC6" w:rsidRPr="00A51745" w:rsidRDefault="00287AC6" w:rsidP="00287AC6">
      <w:pPr>
        <w:pStyle w:val="ListParagraph"/>
        <w:tabs>
          <w:tab w:val="left" w:pos="720"/>
        </w:tabs>
        <w:autoSpaceDE w:val="0"/>
        <w:autoSpaceDN w:val="0"/>
        <w:adjustRightInd w:val="0"/>
        <w:spacing w:after="0" w:line="240" w:lineRule="auto"/>
        <w:ind w:hanging="360"/>
        <w:jc w:val="both"/>
        <w:rPr>
          <w:rFonts w:ascii="Arial Narrow" w:hAnsi="Arial Narrow" w:cs="Bliss Light"/>
          <w:sz w:val="16"/>
          <w:szCs w:val="16"/>
        </w:rPr>
      </w:pPr>
    </w:p>
    <w:p w14:paraId="467DD01F" w14:textId="77777777" w:rsidR="00287AC6" w:rsidRPr="00A51745" w:rsidRDefault="00287AC6" w:rsidP="000B1E46">
      <w:pPr>
        <w:pStyle w:val="ListParagraph"/>
        <w:numPr>
          <w:ilvl w:val="0"/>
          <w:numId w:val="31"/>
        </w:numPr>
        <w:tabs>
          <w:tab w:val="left" w:pos="720"/>
        </w:tabs>
        <w:autoSpaceDE w:val="0"/>
        <w:autoSpaceDN w:val="0"/>
        <w:adjustRightInd w:val="0"/>
        <w:spacing w:after="0" w:line="240" w:lineRule="auto"/>
        <w:jc w:val="both"/>
        <w:rPr>
          <w:rFonts w:ascii="Arial Narrow" w:hAnsi="Arial Narrow" w:cs="Bliss Light"/>
        </w:rPr>
      </w:pPr>
      <w:r w:rsidRPr="00A51745">
        <w:rPr>
          <w:rFonts w:ascii="Arial Narrow" w:hAnsi="Arial Narrow"/>
          <w:b/>
          <w:bCs/>
        </w:rPr>
        <w:t>Risco de câmbio</w:t>
      </w:r>
      <w:r w:rsidRPr="00A51745">
        <w:rPr>
          <w:rFonts w:ascii="Arial Narrow" w:hAnsi="Arial Narrow"/>
        </w:rPr>
        <w:t xml:space="preserve">, as mudanças nas taxas de câmbio podem afetar adversamente o valor de um portfólio. </w:t>
      </w:r>
    </w:p>
    <w:p w14:paraId="63A60DD3" w14:textId="77777777" w:rsidR="00287AC6" w:rsidRPr="00A51745" w:rsidRDefault="00287AC6" w:rsidP="00287AC6">
      <w:pPr>
        <w:pStyle w:val="ListParagraph"/>
        <w:tabs>
          <w:tab w:val="left" w:pos="720"/>
        </w:tabs>
        <w:autoSpaceDE w:val="0"/>
        <w:autoSpaceDN w:val="0"/>
        <w:adjustRightInd w:val="0"/>
        <w:spacing w:after="0" w:line="240" w:lineRule="auto"/>
        <w:ind w:hanging="360"/>
        <w:jc w:val="both"/>
        <w:rPr>
          <w:rFonts w:ascii="Arial Narrow" w:hAnsi="Arial Narrow" w:cs="Bliss Light"/>
          <w:sz w:val="16"/>
          <w:szCs w:val="16"/>
        </w:rPr>
      </w:pPr>
    </w:p>
    <w:p w14:paraId="746D4C50" w14:textId="480BFCC0" w:rsidR="00287AC6" w:rsidRPr="00A51745" w:rsidRDefault="00287AC6" w:rsidP="000B1E46">
      <w:pPr>
        <w:pStyle w:val="ListParagraph"/>
        <w:numPr>
          <w:ilvl w:val="0"/>
          <w:numId w:val="31"/>
        </w:numPr>
        <w:tabs>
          <w:tab w:val="left" w:pos="720"/>
        </w:tabs>
        <w:autoSpaceDE w:val="0"/>
        <w:autoSpaceDN w:val="0"/>
        <w:adjustRightInd w:val="0"/>
        <w:spacing w:after="0" w:line="240" w:lineRule="auto"/>
        <w:jc w:val="both"/>
        <w:rPr>
          <w:rFonts w:ascii="Arial Narrow" w:hAnsi="Arial Narrow" w:cs="Bliss Light"/>
        </w:rPr>
      </w:pPr>
      <w:r w:rsidRPr="00A51745">
        <w:rPr>
          <w:rFonts w:ascii="Arial Narrow" w:hAnsi="Arial Narrow"/>
          <w:b/>
          <w:bCs/>
        </w:rPr>
        <w:t>Risco de derivativos</w:t>
      </w:r>
      <w:r w:rsidRPr="00A51745">
        <w:rPr>
          <w:rFonts w:ascii="Arial Narrow" w:hAnsi="Arial Narrow"/>
        </w:rPr>
        <w:t xml:space="preserve">, os derivativos podem ser utilizados para aumentar a alavancagem e, por conseguinte, o risco. Isto faz com que o portfólio tenha maior volatilidade. </w:t>
      </w:r>
      <w:r w:rsidR="007B1B1D" w:rsidRPr="00A51745">
        <w:rPr>
          <w:rFonts w:ascii="Arial Narrow" w:hAnsi="Arial Narrow"/>
        </w:rPr>
        <w:t xml:space="preserve">As opções oferecem recompensas não lineares, </w:t>
      </w:r>
      <w:r w:rsidR="00A838B3" w:rsidRPr="00A51745">
        <w:rPr>
          <w:rFonts w:ascii="Arial Narrow" w:hAnsi="Arial Narrow"/>
        </w:rPr>
        <w:t>e</w:t>
      </w:r>
      <w:r w:rsidR="007B1B1D" w:rsidRPr="00A51745">
        <w:rPr>
          <w:rFonts w:ascii="Arial Narrow" w:hAnsi="Arial Narrow"/>
        </w:rPr>
        <w:t xml:space="preserve"> pequenos movimentos do mercado podem levar a grandes aumentos nos lucros ou perdas. Além disso, quando os derivativos são utilizados para fins de hedge, pode haver situações em que as posições de hedge se tornam menos correlacionadas com o ativo subjacente e o aumento do risco base, o que pode levar a perdas decorrentes de movimentos do mercado.</w:t>
      </w:r>
    </w:p>
    <w:p w14:paraId="20159226" w14:textId="77777777" w:rsidR="00287AC6" w:rsidRPr="00A51745" w:rsidRDefault="00287AC6" w:rsidP="00287AC6">
      <w:pPr>
        <w:pStyle w:val="ListParagraph"/>
        <w:tabs>
          <w:tab w:val="left" w:pos="720"/>
        </w:tabs>
        <w:autoSpaceDE w:val="0"/>
        <w:autoSpaceDN w:val="0"/>
        <w:adjustRightInd w:val="0"/>
        <w:spacing w:after="0" w:line="240" w:lineRule="auto"/>
        <w:ind w:hanging="360"/>
        <w:jc w:val="both"/>
        <w:rPr>
          <w:rFonts w:ascii="Arial Narrow" w:hAnsi="Arial Narrow" w:cs="Bliss Light"/>
          <w:sz w:val="16"/>
          <w:szCs w:val="16"/>
        </w:rPr>
      </w:pPr>
    </w:p>
    <w:p w14:paraId="769483A8" w14:textId="20ECF37C" w:rsidR="00287AC6" w:rsidRPr="00A51745" w:rsidRDefault="00287AC6" w:rsidP="000B1E46">
      <w:pPr>
        <w:pStyle w:val="ListParagraph"/>
        <w:numPr>
          <w:ilvl w:val="0"/>
          <w:numId w:val="31"/>
        </w:numPr>
        <w:tabs>
          <w:tab w:val="left" w:pos="720"/>
        </w:tabs>
        <w:autoSpaceDE w:val="0"/>
        <w:autoSpaceDN w:val="0"/>
        <w:adjustRightInd w:val="0"/>
        <w:spacing w:after="0" w:line="240" w:lineRule="auto"/>
        <w:jc w:val="both"/>
        <w:rPr>
          <w:rFonts w:ascii="Arial Narrow" w:hAnsi="Arial Narrow" w:cs="Bliss Light"/>
        </w:rPr>
      </w:pPr>
      <w:r w:rsidRPr="00A51745">
        <w:rPr>
          <w:rFonts w:ascii="Arial Narrow" w:hAnsi="Arial Narrow"/>
          <w:b/>
          <w:bCs/>
        </w:rPr>
        <w:t>Risco de concentração</w:t>
      </w:r>
      <w:r w:rsidRPr="00A51745">
        <w:rPr>
          <w:rFonts w:ascii="Arial Narrow" w:hAnsi="Arial Narrow"/>
        </w:rPr>
        <w:t xml:space="preserve">, o risco associado a qualquer exposição individual ou a um grupo de exposições com o potencial de produzir perdas suficientemente elevadas para ameaçar de maneira significativa o valor do portfólio. Pode </w:t>
      </w:r>
      <w:r w:rsidR="00D12D99" w:rsidRPr="00A51745">
        <w:rPr>
          <w:rFonts w:ascii="Arial Narrow" w:hAnsi="Arial Narrow"/>
        </w:rPr>
        <w:t xml:space="preserve">se </w:t>
      </w:r>
      <w:r w:rsidRPr="00A51745">
        <w:rPr>
          <w:rFonts w:ascii="Arial Narrow" w:hAnsi="Arial Narrow"/>
        </w:rPr>
        <w:t>tratar</w:t>
      </w:r>
      <w:r w:rsidR="00D12D99" w:rsidRPr="00A51745">
        <w:rPr>
          <w:rFonts w:ascii="Arial Narrow" w:hAnsi="Arial Narrow"/>
        </w:rPr>
        <w:t xml:space="preserve"> </w:t>
      </w:r>
      <w:r w:rsidRPr="00A51745">
        <w:rPr>
          <w:rFonts w:ascii="Arial Narrow" w:hAnsi="Arial Narrow"/>
        </w:rPr>
        <w:t xml:space="preserve">de uma concentração em um único nome ou em um setor. </w:t>
      </w:r>
    </w:p>
    <w:p w14:paraId="3A8BCBA7" w14:textId="77777777" w:rsidR="00287AC6" w:rsidRPr="00A51745" w:rsidRDefault="00287AC6" w:rsidP="00287AC6">
      <w:pPr>
        <w:pStyle w:val="ListParagraph"/>
        <w:tabs>
          <w:tab w:val="left" w:pos="720"/>
        </w:tabs>
        <w:autoSpaceDE w:val="0"/>
        <w:autoSpaceDN w:val="0"/>
        <w:adjustRightInd w:val="0"/>
        <w:spacing w:after="0" w:line="240" w:lineRule="auto"/>
        <w:ind w:hanging="360"/>
        <w:jc w:val="both"/>
        <w:rPr>
          <w:rFonts w:ascii="Arial Narrow" w:hAnsi="Arial Narrow" w:cs="Bliss Light"/>
          <w:sz w:val="16"/>
          <w:szCs w:val="16"/>
        </w:rPr>
      </w:pPr>
    </w:p>
    <w:p w14:paraId="1F86C2D6" w14:textId="77777777" w:rsidR="00D5082D" w:rsidRPr="00A51745" w:rsidRDefault="00D5082D" w:rsidP="00D5082D">
      <w:pPr>
        <w:pStyle w:val="ListParagraph"/>
        <w:rPr>
          <w:rFonts w:ascii="Arial Narrow" w:hAnsi="Arial Narrow" w:cs="Bliss Light"/>
        </w:rPr>
      </w:pPr>
    </w:p>
    <w:p w14:paraId="056112E4" w14:textId="1E04106B" w:rsidR="00C714B5" w:rsidRPr="00A51745" w:rsidRDefault="00C714B5" w:rsidP="00D5082D">
      <w:pPr>
        <w:pStyle w:val="ListParagraph"/>
        <w:rPr>
          <w:rFonts w:ascii="Arial Narrow" w:hAnsi="Arial Narrow" w:cs="Bliss Light"/>
          <w:b/>
          <w:bCs/>
        </w:rPr>
      </w:pPr>
      <w:r w:rsidRPr="00A51745">
        <w:rPr>
          <w:rFonts w:ascii="Arial Narrow" w:hAnsi="Arial Narrow" w:cs="Bliss Light"/>
          <w:b/>
          <w:bCs/>
        </w:rPr>
        <w:t>a2) Risco do Mercado de Renda Variável/ Mercado de Ações</w:t>
      </w:r>
    </w:p>
    <w:p w14:paraId="73180A9E" w14:textId="5FD56B1E" w:rsidR="00C714B5" w:rsidRPr="00A51745" w:rsidRDefault="00C714B5" w:rsidP="000B1E46">
      <w:pPr>
        <w:pStyle w:val="ListParagraph"/>
        <w:numPr>
          <w:ilvl w:val="0"/>
          <w:numId w:val="32"/>
        </w:numPr>
        <w:spacing w:after="120"/>
        <w:jc w:val="both"/>
        <w:rPr>
          <w:rFonts w:ascii="Arial Narrow" w:hAnsi="Arial Narrow"/>
        </w:rPr>
      </w:pPr>
      <w:r w:rsidRPr="00A51745">
        <w:rPr>
          <w:rFonts w:ascii="Arial Narrow" w:hAnsi="Arial Narrow"/>
          <w:b/>
          <w:bCs/>
        </w:rPr>
        <w:t>Risco do mercado de Renda Variável/Mercado de Ações</w:t>
      </w:r>
      <w:r w:rsidRPr="00A51745">
        <w:rPr>
          <w:rFonts w:ascii="Arial Narrow" w:hAnsi="Arial Narrow"/>
        </w:rPr>
        <w:t>,, uma mudança adversa no preço de uma ação, setor ou índice (por exemplo, Vodafone, Utilities, FTSE 100, etc.).</w:t>
      </w:r>
    </w:p>
    <w:p w14:paraId="5A30B91E" w14:textId="77777777" w:rsidR="006A3A54" w:rsidRPr="00A51745" w:rsidRDefault="00C714B5" w:rsidP="000B1E46">
      <w:pPr>
        <w:pStyle w:val="ListParagraph"/>
        <w:numPr>
          <w:ilvl w:val="0"/>
          <w:numId w:val="32"/>
        </w:numPr>
        <w:spacing w:after="120"/>
        <w:jc w:val="both"/>
        <w:rPr>
          <w:rFonts w:ascii="Arial Narrow" w:hAnsi="Arial Narrow"/>
        </w:rPr>
      </w:pPr>
      <w:r w:rsidRPr="00A51745">
        <w:rPr>
          <w:rFonts w:ascii="Arial Narrow" w:hAnsi="Arial Narrow"/>
          <w:b/>
          <w:bCs/>
        </w:rPr>
        <w:t>Capitalização de mercado</w:t>
      </w:r>
      <w:r w:rsidRPr="00A51745">
        <w:rPr>
          <w:rFonts w:ascii="Arial Narrow" w:hAnsi="Arial Narrow"/>
        </w:rPr>
        <w:t xml:space="preserve">, empresas menores, devido ao seu tamanho, podem ser mais sensíveis às informações específicas do mercado e das ações. Como resultado, as empresas menores tendem a ser mais voláteis e menos líquidas do que as </w:t>
      </w:r>
      <w:r w:rsidR="006A3A54" w:rsidRPr="00A51745">
        <w:rPr>
          <w:rFonts w:ascii="Arial Narrow" w:hAnsi="Arial Narrow"/>
        </w:rPr>
        <w:t>empresas maiores</w:t>
      </w:r>
    </w:p>
    <w:p w14:paraId="173C9CFA" w14:textId="7E6F31B7" w:rsidR="006A3A54" w:rsidRPr="00A51745" w:rsidRDefault="00E6260C" w:rsidP="006A3A54">
      <w:pPr>
        <w:pStyle w:val="ListParagraph"/>
        <w:rPr>
          <w:rFonts w:ascii="Arial Narrow" w:hAnsi="Arial Narrow" w:cs="Bliss Light"/>
          <w:b/>
          <w:bCs/>
        </w:rPr>
      </w:pPr>
      <w:r w:rsidRPr="00A51745">
        <w:rPr>
          <w:rFonts w:ascii="Arial Narrow" w:hAnsi="Arial Narrow" w:cs="Bliss Light"/>
          <w:b/>
          <w:bCs/>
        </w:rPr>
        <w:t>a</w:t>
      </w:r>
      <w:r w:rsidR="006A3A54" w:rsidRPr="00A51745">
        <w:rPr>
          <w:rFonts w:ascii="Arial Narrow" w:hAnsi="Arial Narrow" w:cs="Bliss Light"/>
          <w:b/>
          <w:bCs/>
        </w:rPr>
        <w:t>3) Risco do Mercado de Renda Fixa</w:t>
      </w:r>
    </w:p>
    <w:p w14:paraId="5B485F73" w14:textId="7AD2ABC1" w:rsidR="00C714B5" w:rsidRPr="00A51745" w:rsidRDefault="00C714B5" w:rsidP="00C714B5">
      <w:pPr>
        <w:pStyle w:val="ListParagraph"/>
        <w:numPr>
          <w:ilvl w:val="0"/>
          <w:numId w:val="32"/>
        </w:numPr>
        <w:spacing w:after="120"/>
        <w:jc w:val="both"/>
        <w:rPr>
          <w:rFonts w:ascii="Arial Narrow" w:hAnsi="Arial Narrow"/>
        </w:rPr>
      </w:pPr>
      <w:r w:rsidRPr="00A51745">
        <w:rPr>
          <w:rFonts w:ascii="Arial Narrow" w:hAnsi="Arial Narrow"/>
          <w:b/>
          <w:bCs/>
        </w:rPr>
        <w:lastRenderedPageBreak/>
        <w:t>Risco soberano</w:t>
      </w:r>
      <w:r w:rsidRPr="00A51745">
        <w:rPr>
          <w:rFonts w:ascii="Arial Narrow" w:hAnsi="Arial Narrow"/>
        </w:rPr>
        <w:t>: risco de a carteira sofrer prejuízos resultantes da suspensão de pagamentos em moeda estrangeira, ou não cumprimento de obrigações. A probabilidade desses eventos ocorrerem tende a estar atrelada ao desempenho econômico e à estabilidade política do país.</w:t>
      </w:r>
    </w:p>
    <w:p w14:paraId="68452A23" w14:textId="77777777" w:rsidR="00C714B5" w:rsidRPr="00A51745" w:rsidRDefault="00C714B5" w:rsidP="00C714B5">
      <w:pPr>
        <w:pStyle w:val="ListParagraph"/>
        <w:numPr>
          <w:ilvl w:val="0"/>
          <w:numId w:val="32"/>
        </w:numPr>
        <w:spacing w:after="120"/>
        <w:jc w:val="both"/>
        <w:rPr>
          <w:rFonts w:ascii="Arial Narrow" w:hAnsi="Arial Narrow"/>
        </w:rPr>
      </w:pPr>
      <w:r w:rsidRPr="00A51745">
        <w:rPr>
          <w:rFonts w:ascii="Arial Narrow" w:hAnsi="Arial Narrow"/>
          <w:b/>
          <w:bCs/>
        </w:rPr>
        <w:t>Risco de classificação de crédito</w:t>
      </w:r>
      <w:r w:rsidRPr="00A51745">
        <w:rPr>
          <w:rFonts w:ascii="Arial Narrow" w:hAnsi="Arial Narrow"/>
        </w:rPr>
        <w:t>: uma mudança desfavorável em classificações de crédito (</w:t>
      </w:r>
      <w:proofErr w:type="spellStart"/>
      <w:r w:rsidRPr="00A51745">
        <w:rPr>
          <w:rFonts w:ascii="Arial Narrow" w:hAnsi="Arial Narrow"/>
        </w:rPr>
        <w:t>ex</w:t>
      </w:r>
      <w:proofErr w:type="spellEnd"/>
      <w:r w:rsidRPr="00A51745">
        <w:rPr>
          <w:rFonts w:ascii="Arial Narrow" w:hAnsi="Arial Narrow"/>
        </w:rPr>
        <w:t xml:space="preserve">: rebaixamento pelas agências S&amp;P, Moody’s, ou Fitch) pode gerar prejuízo para a carteira. </w:t>
      </w:r>
    </w:p>
    <w:p w14:paraId="055AC58E" w14:textId="4479CF06" w:rsidR="006A3A54" w:rsidRPr="00A51745" w:rsidRDefault="006A3A54" w:rsidP="006A3A54">
      <w:pPr>
        <w:pStyle w:val="ListParagraph"/>
        <w:numPr>
          <w:ilvl w:val="0"/>
          <w:numId w:val="32"/>
        </w:numPr>
        <w:spacing w:after="120"/>
        <w:jc w:val="both"/>
        <w:rPr>
          <w:rFonts w:ascii="Arial Narrow" w:hAnsi="Arial Narrow"/>
        </w:rPr>
      </w:pPr>
      <w:r w:rsidRPr="00A51745">
        <w:rPr>
          <w:rFonts w:ascii="Arial Narrow" w:hAnsi="Arial Narrow"/>
          <w:b/>
          <w:bCs/>
        </w:rPr>
        <w:t>Risco do emissor:</w:t>
      </w:r>
      <w:r w:rsidRPr="00A51745">
        <w:rPr>
          <w:rFonts w:ascii="Arial Narrow" w:hAnsi="Arial Narrow"/>
        </w:rPr>
        <w:t xml:space="preserve"> mudanças na capacidade de pagamento de um emissor, ou grupo de emissores, podem afetar o preço de um ativo, acarretando prejuízo à carteira. </w:t>
      </w:r>
    </w:p>
    <w:p w14:paraId="12A83D67" w14:textId="39C86FDE" w:rsidR="00C714B5" w:rsidRPr="00A51745" w:rsidRDefault="009800EE" w:rsidP="000B1E46">
      <w:pPr>
        <w:pStyle w:val="ListParagraph"/>
        <w:numPr>
          <w:ilvl w:val="0"/>
          <w:numId w:val="32"/>
        </w:numPr>
        <w:spacing w:after="120"/>
        <w:jc w:val="both"/>
        <w:rPr>
          <w:rFonts w:ascii="Arial Narrow" w:hAnsi="Arial Narrow"/>
        </w:rPr>
      </w:pPr>
      <w:r w:rsidRPr="00A51745">
        <w:rPr>
          <w:rFonts w:ascii="Arial Narrow" w:hAnsi="Arial Narrow"/>
          <w:b/>
          <w:bCs/>
        </w:rPr>
        <w:t xml:space="preserve">Risco de liquidação, </w:t>
      </w:r>
      <w:r w:rsidRPr="00A51745">
        <w:rPr>
          <w:rFonts w:ascii="Arial Narrow" w:hAnsi="Arial Narrow"/>
        </w:rPr>
        <w:t xml:space="preserve">o risco de uma parte deixar de entregar os termos de um contrato com outra parte no momento da liquidação. Esse risco é particularmente relevante para os títulos de crédito, pois além do risco de liquidez de negociação, dependendo da região geográfica do tomador, do tipo de empréstimo (prazo, ponte, “principal” / ”nova emissão”, “secundário” etc. ), demanda e, principalmente, a capacidade da contraparte de efetuar a liquidação, entre outros fatores, o período de liquidação desses </w:t>
      </w:r>
      <w:r w:rsidR="00646A62" w:rsidRPr="00A51745">
        <w:rPr>
          <w:rFonts w:ascii="Arial Narrow" w:hAnsi="Arial Narrow"/>
        </w:rPr>
        <w:t>ativos</w:t>
      </w:r>
      <w:r w:rsidRPr="00A51745">
        <w:rPr>
          <w:rFonts w:ascii="Arial Narrow" w:hAnsi="Arial Narrow"/>
        </w:rPr>
        <w:t xml:space="preserve"> pode ser muito longo.</w:t>
      </w:r>
    </w:p>
    <w:p w14:paraId="4053C3F8" w14:textId="77777777" w:rsidR="008C0661" w:rsidRPr="00A51745" w:rsidRDefault="008C0661" w:rsidP="000B1E46">
      <w:pPr>
        <w:spacing w:after="120"/>
        <w:jc w:val="both"/>
        <w:rPr>
          <w:rFonts w:ascii="Arial Narrow" w:hAnsi="Arial Narrow"/>
        </w:rPr>
      </w:pPr>
    </w:p>
    <w:p w14:paraId="4EC1F231" w14:textId="590838B1" w:rsidR="008C0661" w:rsidRPr="00A51745" w:rsidRDefault="008C0661" w:rsidP="000B1E46">
      <w:pPr>
        <w:pStyle w:val="ListParagraph"/>
        <w:rPr>
          <w:rFonts w:ascii="Arial Narrow" w:hAnsi="Arial Narrow" w:cs="Bliss Light"/>
          <w:b/>
          <w:bCs/>
        </w:rPr>
      </w:pPr>
      <w:r w:rsidRPr="00A51745">
        <w:rPr>
          <w:rFonts w:ascii="Arial Narrow" w:hAnsi="Arial Narrow" w:cs="Bliss Light"/>
          <w:b/>
          <w:bCs/>
        </w:rPr>
        <w:t xml:space="preserve">a4) Riscos de fundos </w:t>
      </w:r>
      <w:proofErr w:type="spellStart"/>
      <w:r w:rsidRPr="00A51745">
        <w:rPr>
          <w:rFonts w:ascii="Arial Narrow" w:hAnsi="Arial Narrow" w:cs="Bliss Light"/>
          <w:b/>
          <w:bCs/>
        </w:rPr>
        <w:t>multi-</w:t>
      </w:r>
      <w:r w:rsidR="00040880" w:rsidRPr="00A51745">
        <w:rPr>
          <w:rFonts w:ascii="Arial Narrow" w:hAnsi="Arial Narrow" w:cs="Bliss Light"/>
          <w:b/>
          <w:bCs/>
        </w:rPr>
        <w:t>mercado</w:t>
      </w:r>
      <w:proofErr w:type="spellEnd"/>
      <w:r w:rsidRPr="00A51745">
        <w:rPr>
          <w:rFonts w:ascii="Arial Narrow" w:hAnsi="Arial Narrow" w:cs="Bliss Light"/>
          <w:b/>
          <w:bCs/>
        </w:rPr>
        <w:t xml:space="preserve">, fundos </w:t>
      </w:r>
      <w:r w:rsidR="00040880" w:rsidRPr="00A51745">
        <w:rPr>
          <w:rFonts w:ascii="Arial Narrow" w:hAnsi="Arial Narrow" w:cs="Bliss Light"/>
          <w:b/>
          <w:bCs/>
        </w:rPr>
        <w:t>Long-</w:t>
      </w:r>
      <w:proofErr w:type="spellStart"/>
      <w:r w:rsidR="00040880" w:rsidRPr="00A51745">
        <w:rPr>
          <w:rFonts w:ascii="Arial Narrow" w:hAnsi="Arial Narrow" w:cs="Bliss Light"/>
          <w:b/>
          <w:bCs/>
        </w:rPr>
        <w:t>only</w:t>
      </w:r>
      <w:proofErr w:type="spellEnd"/>
      <w:r w:rsidRPr="00A51745">
        <w:rPr>
          <w:rFonts w:ascii="Arial Narrow" w:hAnsi="Arial Narrow" w:cs="Bliss Light"/>
          <w:b/>
          <w:bCs/>
        </w:rPr>
        <w:t xml:space="preserve"> e fundos de fundos de hedge</w:t>
      </w:r>
    </w:p>
    <w:p w14:paraId="0E8F4AEA" w14:textId="61A345C1" w:rsidR="008C0661" w:rsidRPr="00A51745" w:rsidRDefault="008C0661" w:rsidP="000B1E46">
      <w:pPr>
        <w:spacing w:after="120"/>
        <w:jc w:val="both"/>
        <w:rPr>
          <w:rFonts w:ascii="Arial Narrow" w:hAnsi="Arial Narrow"/>
        </w:rPr>
      </w:pPr>
      <w:r w:rsidRPr="00A51745">
        <w:rPr>
          <w:rFonts w:ascii="Arial Narrow" w:hAnsi="Arial Narrow"/>
        </w:rPr>
        <w:t>Estes tipos de fundos têm capacidade de investir em todas as outras classes de ativos e, portanto, estarão sujeitos aos riscos de mercado relevantes. Além disso, os fundos podem investir em outras classes de ativos as quais os riscos podem ser relevantes, tais como:</w:t>
      </w:r>
    </w:p>
    <w:p w14:paraId="171C7602" w14:textId="5AEB49D5" w:rsidR="00594378" w:rsidRPr="00A51745" w:rsidRDefault="00594378" w:rsidP="000B1E46">
      <w:pPr>
        <w:pStyle w:val="ListParagraph"/>
        <w:numPr>
          <w:ilvl w:val="0"/>
          <w:numId w:val="32"/>
        </w:numPr>
        <w:spacing w:after="120"/>
        <w:jc w:val="both"/>
        <w:rPr>
          <w:rFonts w:ascii="Arial Narrow" w:hAnsi="Arial Narrow"/>
        </w:rPr>
      </w:pPr>
      <w:r w:rsidRPr="00A51745">
        <w:rPr>
          <w:rFonts w:ascii="Arial Narrow" w:hAnsi="Arial Narrow"/>
          <w:b/>
          <w:bCs/>
        </w:rPr>
        <w:t>Risco de commodities</w:t>
      </w:r>
      <w:r w:rsidRPr="00A51745">
        <w:rPr>
          <w:rFonts w:ascii="Arial Narrow" w:hAnsi="Arial Narrow"/>
        </w:rPr>
        <w:t>, uma mudança adversa nos preços das commodities (por exemplo, algodão, ouro, gás natural, petróleo bruto, etc.).</w:t>
      </w:r>
    </w:p>
    <w:p w14:paraId="39E7F37C" w14:textId="2F9FDDC5" w:rsidR="00594378" w:rsidRPr="00A51745" w:rsidRDefault="00594378" w:rsidP="000B1E46">
      <w:pPr>
        <w:pStyle w:val="ListParagraph"/>
        <w:numPr>
          <w:ilvl w:val="0"/>
          <w:numId w:val="32"/>
        </w:numPr>
        <w:spacing w:after="120"/>
        <w:jc w:val="both"/>
        <w:rPr>
          <w:rFonts w:ascii="Arial Narrow" w:hAnsi="Arial Narrow"/>
        </w:rPr>
      </w:pPr>
      <w:r w:rsidRPr="00A51745">
        <w:rPr>
          <w:rFonts w:ascii="Arial Narrow" w:hAnsi="Arial Narrow"/>
          <w:b/>
          <w:bCs/>
        </w:rPr>
        <w:t xml:space="preserve">Risco de financiamento / liquidez, </w:t>
      </w:r>
      <w:r w:rsidRPr="00A51745">
        <w:rPr>
          <w:rFonts w:ascii="Arial Narrow" w:hAnsi="Arial Narrow"/>
        </w:rPr>
        <w:t xml:space="preserve">o risco de um fundo subjacente ser incapaz de atender chamadas de margem para financiar suas posições em aberto (particularmente relevante nos negócios do Fundo de Hedge </w:t>
      </w:r>
      <w:proofErr w:type="spellStart"/>
      <w:r w:rsidRPr="00A51745">
        <w:rPr>
          <w:rFonts w:ascii="Arial Narrow" w:hAnsi="Arial Narrow"/>
        </w:rPr>
        <w:t>Funds</w:t>
      </w:r>
      <w:proofErr w:type="spellEnd"/>
      <w:r w:rsidRPr="00A51745">
        <w:rPr>
          <w:rFonts w:ascii="Arial Narrow" w:hAnsi="Arial Narrow"/>
        </w:rPr>
        <w:t>, onde os gestores</w:t>
      </w:r>
      <w:r w:rsidR="004A1AE6" w:rsidRPr="00A51745">
        <w:rPr>
          <w:rFonts w:ascii="Arial Narrow" w:hAnsi="Arial Narrow"/>
        </w:rPr>
        <w:t xml:space="preserve"> </w:t>
      </w:r>
      <w:r w:rsidRPr="00A51745">
        <w:rPr>
          <w:rFonts w:ascii="Arial Narrow" w:hAnsi="Arial Narrow"/>
        </w:rPr>
        <w:t>subjacentes podem usar níveis significativos de alavancagem).</w:t>
      </w:r>
    </w:p>
    <w:p w14:paraId="25949F7A" w14:textId="54586550" w:rsidR="00594378" w:rsidRPr="00A51745" w:rsidRDefault="00594378" w:rsidP="000B1E46">
      <w:pPr>
        <w:pStyle w:val="ListParagraph"/>
        <w:numPr>
          <w:ilvl w:val="0"/>
          <w:numId w:val="32"/>
        </w:numPr>
        <w:spacing w:after="120"/>
        <w:jc w:val="both"/>
        <w:rPr>
          <w:rFonts w:ascii="Arial Narrow" w:hAnsi="Arial Narrow"/>
        </w:rPr>
      </w:pPr>
      <w:r w:rsidRPr="00A51745">
        <w:rPr>
          <w:rFonts w:ascii="Arial Narrow" w:hAnsi="Arial Narrow"/>
          <w:b/>
          <w:bCs/>
        </w:rPr>
        <w:t xml:space="preserve">Risco do gestor, </w:t>
      </w:r>
      <w:r w:rsidRPr="00A51745">
        <w:rPr>
          <w:rFonts w:ascii="Arial Narrow" w:hAnsi="Arial Narrow"/>
        </w:rPr>
        <w:t xml:space="preserve">o risco de o </w:t>
      </w:r>
      <w:r w:rsidR="004F3929" w:rsidRPr="00A51745">
        <w:rPr>
          <w:rFonts w:ascii="Arial Narrow" w:hAnsi="Arial Narrow"/>
        </w:rPr>
        <w:t>gestor</w:t>
      </w:r>
      <w:r w:rsidRPr="00A51745">
        <w:rPr>
          <w:rFonts w:ascii="Arial Narrow" w:hAnsi="Arial Narrow"/>
        </w:rPr>
        <w:t xml:space="preserve"> subjacente de um fundo de investimento deixar de cumprir suas obrigações, conforme estabelecido nos documentos </w:t>
      </w:r>
      <w:r w:rsidR="004F3929" w:rsidRPr="00A51745">
        <w:rPr>
          <w:rFonts w:ascii="Arial Narrow" w:hAnsi="Arial Narrow"/>
        </w:rPr>
        <w:t>legais</w:t>
      </w:r>
      <w:r w:rsidRPr="00A51745">
        <w:rPr>
          <w:rFonts w:ascii="Arial Narrow" w:hAnsi="Arial Narrow"/>
        </w:rPr>
        <w:t xml:space="preserve"> ou em suas obrigações legais para com o fundo e seus investidores.</w:t>
      </w:r>
    </w:p>
    <w:p w14:paraId="0FED6163" w14:textId="4E9EBAC9" w:rsidR="00D421D1" w:rsidRPr="00A51745" w:rsidRDefault="00D421D1" w:rsidP="00AF2845">
      <w:pPr>
        <w:pStyle w:val="ListParagraph"/>
        <w:numPr>
          <w:ilvl w:val="0"/>
          <w:numId w:val="1"/>
        </w:numPr>
        <w:tabs>
          <w:tab w:val="left" w:pos="360"/>
        </w:tabs>
        <w:spacing w:after="0" w:line="240" w:lineRule="auto"/>
        <w:ind w:left="360"/>
        <w:jc w:val="both"/>
        <w:rPr>
          <w:rFonts w:ascii="Arial Narrow" w:hAnsi="Arial Narrow"/>
          <w:b/>
          <w:bCs/>
        </w:rPr>
      </w:pPr>
      <w:r w:rsidRPr="00A51745">
        <w:rPr>
          <w:rFonts w:ascii="Arial Narrow" w:hAnsi="Arial Narrow"/>
          <w:b/>
          <w:bCs/>
        </w:rPr>
        <w:t>Risco de Crédito de Contraparte</w:t>
      </w:r>
    </w:p>
    <w:p w14:paraId="3A70846A" w14:textId="0994B6B8" w:rsidR="00B15570" w:rsidRPr="00A51745" w:rsidRDefault="00B15570" w:rsidP="00B15570">
      <w:pPr>
        <w:pStyle w:val="ListParagraph"/>
        <w:tabs>
          <w:tab w:val="left" w:pos="360"/>
        </w:tabs>
        <w:spacing w:after="0" w:line="240" w:lineRule="auto"/>
        <w:ind w:left="360"/>
        <w:jc w:val="both"/>
        <w:rPr>
          <w:rFonts w:ascii="Arial Narrow" w:hAnsi="Arial Narrow"/>
          <w:b/>
          <w:bCs/>
        </w:rPr>
      </w:pPr>
    </w:p>
    <w:p w14:paraId="29326D03" w14:textId="3EAB6965" w:rsidR="00B15570" w:rsidRDefault="00B15570" w:rsidP="00B15570">
      <w:pPr>
        <w:pStyle w:val="ListParagraph"/>
        <w:tabs>
          <w:tab w:val="left" w:pos="360"/>
        </w:tabs>
        <w:spacing w:after="0" w:line="240" w:lineRule="auto"/>
        <w:ind w:left="360"/>
        <w:jc w:val="both"/>
        <w:rPr>
          <w:rFonts w:ascii="Arial Narrow" w:hAnsi="Arial Narrow"/>
        </w:rPr>
      </w:pPr>
      <w:r w:rsidRPr="00A51745">
        <w:rPr>
          <w:rFonts w:ascii="Arial Narrow" w:hAnsi="Arial Narrow"/>
        </w:rPr>
        <w:lastRenderedPageBreak/>
        <w:t>é definida como uma exposição explícita ou implícita da abrdn à inadimplência de uma Contraparte que surge como consequência indireta do instrumento financeiro ou atividade de investimento que está sendo adquirida ou realizada. Isso é conceitualmente distinto do risco ou exposição fundamental que está sendo tomado ativamente através do processo de tomada de decisão de investimento relevante (por exemplo, ao comprar uma ação ou um ativo de renda fixa ) onde o mandato do Cliente ou equivalente direciona que essa exposição ao investimento seja tomada para atender aos objetivos do mandato.</w:t>
      </w:r>
    </w:p>
    <w:p w14:paraId="50F713AB" w14:textId="77777777" w:rsidR="00A51745" w:rsidRPr="00A51745" w:rsidRDefault="00A51745" w:rsidP="00B15570">
      <w:pPr>
        <w:pStyle w:val="ListParagraph"/>
        <w:tabs>
          <w:tab w:val="left" w:pos="360"/>
        </w:tabs>
        <w:spacing w:after="0" w:line="240" w:lineRule="auto"/>
        <w:ind w:left="360"/>
        <w:jc w:val="both"/>
        <w:rPr>
          <w:rFonts w:ascii="Arial Narrow" w:hAnsi="Arial Narrow"/>
        </w:rPr>
      </w:pPr>
    </w:p>
    <w:p w14:paraId="4C814844" w14:textId="1088670A" w:rsidR="00B15570" w:rsidRPr="00A51745" w:rsidRDefault="00B15570" w:rsidP="008F1DAF">
      <w:pPr>
        <w:pStyle w:val="ListParagraph"/>
        <w:tabs>
          <w:tab w:val="left" w:pos="360"/>
        </w:tabs>
        <w:spacing w:after="0" w:line="240" w:lineRule="auto"/>
        <w:ind w:left="360"/>
        <w:jc w:val="both"/>
        <w:rPr>
          <w:rFonts w:ascii="Arial Narrow" w:hAnsi="Arial Narrow"/>
        </w:rPr>
      </w:pPr>
      <w:r w:rsidRPr="00A51745">
        <w:rPr>
          <w:rFonts w:ascii="Arial Narrow" w:hAnsi="Arial Narrow"/>
        </w:rPr>
        <w:t>O Risco de Crédito pode surgir de uma série de fontes, incluindo, mas não se limitando a instrumentos de mercado monetário, depósitos bancários, papel comercial, instrumentos derivativos, saldos de custódia etc. Caso não esteja claro se existe um Risco de Crédito, a determinação do Responsável  pelo Comitê de Crédito (CC) da abrdn será definitiva.</w:t>
      </w:r>
    </w:p>
    <w:p w14:paraId="20BDDE0C" w14:textId="77777777" w:rsidR="00AC2022" w:rsidRPr="00A51745" w:rsidRDefault="00AC2022" w:rsidP="00CC626A">
      <w:pPr>
        <w:tabs>
          <w:tab w:val="left" w:pos="284"/>
        </w:tabs>
        <w:jc w:val="both"/>
        <w:rPr>
          <w:rFonts w:ascii="Arial Narrow" w:hAnsi="Arial Narrow"/>
          <w:sz w:val="14"/>
          <w:szCs w:val="14"/>
        </w:rPr>
      </w:pPr>
    </w:p>
    <w:p w14:paraId="1A4A1428" w14:textId="77777777" w:rsidR="00D421D1" w:rsidRPr="00A51745" w:rsidRDefault="00D421D1" w:rsidP="00CC626A">
      <w:pPr>
        <w:tabs>
          <w:tab w:val="left" w:pos="284"/>
        </w:tabs>
        <w:jc w:val="both"/>
        <w:rPr>
          <w:rFonts w:ascii="Arial Narrow" w:hAnsi="Arial Narrow"/>
        </w:rPr>
      </w:pPr>
    </w:p>
    <w:p w14:paraId="26F413AE" w14:textId="77777777" w:rsidR="00D421D1" w:rsidRPr="00A51745" w:rsidRDefault="00D421D1" w:rsidP="00AF2845">
      <w:pPr>
        <w:pStyle w:val="ListParagraph"/>
        <w:numPr>
          <w:ilvl w:val="0"/>
          <w:numId w:val="1"/>
        </w:numPr>
        <w:tabs>
          <w:tab w:val="left" w:pos="360"/>
        </w:tabs>
        <w:spacing w:after="0" w:line="240" w:lineRule="auto"/>
        <w:ind w:left="360"/>
        <w:jc w:val="both"/>
        <w:rPr>
          <w:rFonts w:ascii="Arial Narrow" w:hAnsi="Arial Narrow"/>
          <w:b/>
          <w:bCs/>
        </w:rPr>
      </w:pPr>
      <w:r w:rsidRPr="00A51745">
        <w:rPr>
          <w:rFonts w:ascii="Arial Narrow" w:hAnsi="Arial Narrow"/>
          <w:b/>
          <w:bCs/>
        </w:rPr>
        <w:t>Risco de Liquidez</w:t>
      </w:r>
    </w:p>
    <w:p w14:paraId="7CA3C92F" w14:textId="77777777" w:rsidR="00AC2022" w:rsidRPr="00A51745" w:rsidRDefault="00AC2022" w:rsidP="00CC626A">
      <w:pPr>
        <w:tabs>
          <w:tab w:val="left" w:pos="284"/>
        </w:tabs>
        <w:jc w:val="both"/>
        <w:rPr>
          <w:rFonts w:ascii="Arial Narrow" w:hAnsi="Arial Narrow"/>
          <w:sz w:val="16"/>
          <w:szCs w:val="16"/>
        </w:rPr>
      </w:pPr>
    </w:p>
    <w:p w14:paraId="3269FB26" w14:textId="77777777" w:rsidR="00D421D1" w:rsidRPr="00A51745" w:rsidRDefault="00D421D1" w:rsidP="00CC626A">
      <w:pPr>
        <w:tabs>
          <w:tab w:val="left" w:pos="284"/>
        </w:tabs>
        <w:jc w:val="both"/>
        <w:rPr>
          <w:rFonts w:ascii="Arial Narrow" w:hAnsi="Arial Narrow"/>
        </w:rPr>
      </w:pPr>
      <w:r w:rsidRPr="00A51745">
        <w:rPr>
          <w:rFonts w:ascii="Arial Narrow" w:hAnsi="Arial Narrow"/>
        </w:rPr>
        <w:t>O Risco de Liquidez é a probabilidade de uma mudança adversa nos mercados de capitais afetar a disponibilidade de financiamento de dívida e de capital próprio (lado do passivo) e a falta de capacidade para alienar investimentos para resgatar capital próprio e/ou dívida sem incorrer em perdas (lado do ativo).</w:t>
      </w:r>
    </w:p>
    <w:p w14:paraId="0B2C162F" w14:textId="55619FFF" w:rsidR="00174753" w:rsidRPr="00A51745" w:rsidRDefault="00174753" w:rsidP="00CC626A">
      <w:pPr>
        <w:tabs>
          <w:tab w:val="left" w:pos="284"/>
        </w:tabs>
        <w:jc w:val="both"/>
        <w:rPr>
          <w:rFonts w:ascii="Arial Narrow" w:hAnsi="Arial Narrow"/>
        </w:rPr>
      </w:pPr>
      <w:r w:rsidRPr="00A51745">
        <w:rPr>
          <w:rFonts w:ascii="Arial Narrow" w:hAnsi="Arial Narrow"/>
        </w:rPr>
        <w:t>Risco de liquidez é definido como o risco de que uma carteira precise levantar caixa ou reduzir posições de derivativos em tempo hábil, em reação a eventos de mercado ou para atender a solicitações de resgate de clientes, e pode ser obrigada a vender ativos de longo prazo a um preço menor do que o seu valor de mercado. A liquidez também é uma consideração importante n</w:t>
      </w:r>
      <w:r w:rsidR="00250B65" w:rsidRPr="00A51745">
        <w:rPr>
          <w:rFonts w:ascii="Arial Narrow" w:hAnsi="Arial Narrow"/>
        </w:rPr>
        <w:t xml:space="preserve">a gestão </w:t>
      </w:r>
      <w:r w:rsidRPr="00A51745">
        <w:rPr>
          <w:rFonts w:ascii="Arial Narrow" w:hAnsi="Arial Narrow"/>
        </w:rPr>
        <w:t>de carteiras: os ge</w:t>
      </w:r>
      <w:r w:rsidR="00250B65" w:rsidRPr="00A51745">
        <w:rPr>
          <w:rFonts w:ascii="Arial Narrow" w:hAnsi="Arial Narrow"/>
        </w:rPr>
        <w:t>stores</w:t>
      </w:r>
      <w:r w:rsidRPr="00A51745">
        <w:rPr>
          <w:rFonts w:ascii="Arial Narrow" w:hAnsi="Arial Narrow"/>
        </w:rPr>
        <w:t xml:space="preserve"> de portfólio precisam prestar atenção à liquidez do mercado ao dimensionar, entrar e sair de posições de negociação.</w:t>
      </w:r>
    </w:p>
    <w:p w14:paraId="1D43D713" w14:textId="77777777" w:rsidR="00B15570" w:rsidRPr="00A51745" w:rsidRDefault="00B15570" w:rsidP="008F1DAF">
      <w:pPr>
        <w:pStyle w:val="ListParagraph"/>
        <w:tabs>
          <w:tab w:val="left" w:pos="360"/>
        </w:tabs>
        <w:spacing w:after="0" w:line="240" w:lineRule="auto"/>
        <w:ind w:left="360"/>
        <w:jc w:val="both"/>
        <w:rPr>
          <w:rFonts w:ascii="Arial Narrow" w:hAnsi="Arial Narrow"/>
          <w:b/>
          <w:bCs/>
        </w:rPr>
      </w:pPr>
    </w:p>
    <w:p w14:paraId="6A8BCEB8" w14:textId="77777777" w:rsidR="000B369F" w:rsidRPr="00A51745" w:rsidRDefault="000B369F" w:rsidP="000B369F">
      <w:pPr>
        <w:pStyle w:val="ListParagraph"/>
        <w:numPr>
          <w:ilvl w:val="0"/>
          <w:numId w:val="1"/>
        </w:numPr>
        <w:tabs>
          <w:tab w:val="left" w:pos="360"/>
        </w:tabs>
        <w:spacing w:after="0" w:line="240" w:lineRule="auto"/>
        <w:ind w:left="360"/>
        <w:jc w:val="both"/>
        <w:rPr>
          <w:rFonts w:ascii="Arial Narrow" w:hAnsi="Arial Narrow"/>
          <w:b/>
          <w:bCs/>
        </w:rPr>
      </w:pPr>
      <w:r w:rsidRPr="00A51745">
        <w:rPr>
          <w:rFonts w:ascii="Arial Narrow" w:hAnsi="Arial Narrow"/>
          <w:b/>
          <w:bCs/>
        </w:rPr>
        <w:t>Risco de Sustentabilidade</w:t>
      </w:r>
    </w:p>
    <w:p w14:paraId="67DB9EDD" w14:textId="77777777" w:rsidR="00B15570" w:rsidRPr="00A51745" w:rsidRDefault="00B15570" w:rsidP="008F1DAF">
      <w:pPr>
        <w:pStyle w:val="ListParagraph"/>
        <w:tabs>
          <w:tab w:val="left" w:pos="360"/>
        </w:tabs>
        <w:spacing w:after="0" w:line="240" w:lineRule="auto"/>
        <w:ind w:left="360"/>
        <w:jc w:val="both"/>
        <w:rPr>
          <w:rFonts w:ascii="Arial Narrow" w:hAnsi="Arial Narrow" w:cs="Arial"/>
          <w:bCs/>
          <w:i/>
          <w:szCs w:val="20"/>
        </w:rPr>
      </w:pPr>
    </w:p>
    <w:p w14:paraId="56D696FB" w14:textId="5D43AF49" w:rsidR="000B369F" w:rsidRPr="00A51745" w:rsidRDefault="000B369F" w:rsidP="00B15570">
      <w:pPr>
        <w:spacing w:line="276" w:lineRule="auto"/>
        <w:jc w:val="both"/>
        <w:rPr>
          <w:rFonts w:ascii="Arial Narrow" w:hAnsi="Arial Narrow" w:cs="Arial"/>
          <w:szCs w:val="20"/>
        </w:rPr>
      </w:pPr>
      <w:bookmarkStart w:id="5" w:name="_Hlk56784770"/>
      <w:r w:rsidRPr="00A51745">
        <w:rPr>
          <w:rFonts w:ascii="Arial Narrow" w:hAnsi="Arial Narrow" w:cs="Arial"/>
          <w:szCs w:val="20"/>
        </w:rPr>
        <w:t xml:space="preserve">Este risco é definido </w:t>
      </w:r>
      <w:r w:rsidR="00841FB8" w:rsidRPr="00A51745">
        <w:rPr>
          <w:rFonts w:ascii="Arial Narrow" w:hAnsi="Arial Narrow" w:cs="Arial"/>
          <w:szCs w:val="20"/>
        </w:rPr>
        <w:t>como</w:t>
      </w:r>
      <w:r w:rsidRPr="00A51745">
        <w:rPr>
          <w:rFonts w:ascii="Arial Narrow" w:hAnsi="Arial Narrow" w:cs="Arial"/>
          <w:szCs w:val="20"/>
        </w:rPr>
        <w:t xml:space="preserve"> eventos ambientais, sociais ou de governança que poderiam causar um </w:t>
      </w:r>
      <w:r w:rsidR="00841FB8" w:rsidRPr="00A51745">
        <w:rPr>
          <w:rFonts w:ascii="Arial Narrow" w:hAnsi="Arial Narrow" w:cs="Arial"/>
          <w:szCs w:val="20"/>
        </w:rPr>
        <w:t>risco</w:t>
      </w:r>
      <w:r w:rsidRPr="00A51745">
        <w:rPr>
          <w:rFonts w:ascii="Arial Narrow" w:hAnsi="Arial Narrow" w:cs="Arial"/>
          <w:szCs w:val="20"/>
        </w:rPr>
        <w:t xml:space="preserve"> material negativo </w:t>
      </w:r>
      <w:r w:rsidR="00841FB8" w:rsidRPr="00A51745">
        <w:rPr>
          <w:rFonts w:ascii="Arial Narrow" w:hAnsi="Arial Narrow" w:cs="Arial"/>
          <w:szCs w:val="20"/>
        </w:rPr>
        <w:t xml:space="preserve">sobre </w:t>
      </w:r>
      <w:r w:rsidRPr="00A51745">
        <w:rPr>
          <w:rFonts w:ascii="Arial Narrow" w:hAnsi="Arial Narrow" w:cs="Arial"/>
          <w:szCs w:val="20"/>
        </w:rPr>
        <w:t>o valor dos investimentos.</w:t>
      </w:r>
    </w:p>
    <w:p w14:paraId="08A85C77" w14:textId="77777777" w:rsidR="00841FB8" w:rsidRPr="00A51745" w:rsidRDefault="00841FB8" w:rsidP="00B15570">
      <w:pPr>
        <w:spacing w:line="276" w:lineRule="auto"/>
        <w:jc w:val="both"/>
        <w:rPr>
          <w:rFonts w:ascii="Arial Narrow" w:hAnsi="Arial Narrow" w:cs="Arial"/>
          <w:szCs w:val="20"/>
        </w:rPr>
      </w:pPr>
    </w:p>
    <w:bookmarkEnd w:id="5"/>
    <w:p w14:paraId="478AFA53" w14:textId="77777777" w:rsidR="00D421D1" w:rsidRPr="00A51745" w:rsidRDefault="0008502C" w:rsidP="00AF2845">
      <w:pPr>
        <w:pStyle w:val="ListParagraph"/>
        <w:numPr>
          <w:ilvl w:val="0"/>
          <w:numId w:val="1"/>
        </w:numPr>
        <w:tabs>
          <w:tab w:val="left" w:pos="360"/>
        </w:tabs>
        <w:spacing w:after="0" w:line="240" w:lineRule="auto"/>
        <w:ind w:left="360"/>
        <w:jc w:val="both"/>
        <w:rPr>
          <w:rFonts w:ascii="Arial Narrow" w:hAnsi="Arial Narrow"/>
          <w:b/>
          <w:bCs/>
        </w:rPr>
      </w:pPr>
      <w:r w:rsidRPr="00A51745">
        <w:rPr>
          <w:rFonts w:ascii="Arial Narrow" w:hAnsi="Arial Narrow"/>
          <w:b/>
          <w:bCs/>
        </w:rPr>
        <w:t>Risco Operacional</w:t>
      </w:r>
    </w:p>
    <w:p w14:paraId="39B215B3" w14:textId="77777777" w:rsidR="00AC2022" w:rsidRPr="00A51745" w:rsidRDefault="00AC2022" w:rsidP="00CC626A">
      <w:pPr>
        <w:tabs>
          <w:tab w:val="left" w:pos="284"/>
        </w:tabs>
        <w:jc w:val="both"/>
        <w:rPr>
          <w:rFonts w:ascii="Arial Narrow" w:hAnsi="Arial Narrow"/>
          <w:sz w:val="14"/>
          <w:szCs w:val="14"/>
        </w:rPr>
      </w:pPr>
    </w:p>
    <w:p w14:paraId="4AF8ABF0" w14:textId="39AC202E" w:rsidR="00DD48B8" w:rsidRPr="00A51745" w:rsidRDefault="00DD48B8" w:rsidP="00CC626A">
      <w:pPr>
        <w:tabs>
          <w:tab w:val="left" w:pos="284"/>
        </w:tabs>
        <w:jc w:val="both"/>
        <w:rPr>
          <w:rFonts w:ascii="Arial Narrow" w:hAnsi="Arial Narrow"/>
        </w:rPr>
      </w:pPr>
      <w:r w:rsidRPr="00A51745">
        <w:rPr>
          <w:rFonts w:ascii="Arial Narrow" w:hAnsi="Arial Narrow"/>
        </w:rPr>
        <w:t>O Risco Operacional é definido como o risco de perda ou consequências adversas para o negócio resultante de processos internos inadequados ou falh</w:t>
      </w:r>
      <w:r w:rsidR="00F9314D" w:rsidRPr="00A51745">
        <w:rPr>
          <w:rFonts w:ascii="Arial Narrow" w:hAnsi="Arial Narrow"/>
        </w:rPr>
        <w:t>os</w:t>
      </w:r>
      <w:r w:rsidRPr="00A51745">
        <w:rPr>
          <w:rFonts w:ascii="Arial Narrow" w:hAnsi="Arial Narrow"/>
        </w:rPr>
        <w:t>, pessoas ou sistemas ou de eventos externos</w:t>
      </w:r>
    </w:p>
    <w:p w14:paraId="7FF73BCE" w14:textId="308005C7" w:rsidR="00FF4436" w:rsidRPr="00A51745" w:rsidRDefault="00FF4436" w:rsidP="00CC626A">
      <w:pPr>
        <w:tabs>
          <w:tab w:val="left" w:pos="284"/>
        </w:tabs>
        <w:jc w:val="both"/>
        <w:rPr>
          <w:rFonts w:ascii="Arial Narrow" w:hAnsi="Arial Narrow"/>
        </w:rPr>
      </w:pPr>
    </w:p>
    <w:p w14:paraId="4ABE4E7D" w14:textId="77777777" w:rsidR="000B21F9" w:rsidRPr="00A51745" w:rsidRDefault="000B21F9" w:rsidP="00CC626A">
      <w:pPr>
        <w:tabs>
          <w:tab w:val="left" w:pos="284"/>
        </w:tabs>
        <w:jc w:val="both"/>
        <w:rPr>
          <w:rFonts w:ascii="Arial Narrow" w:hAnsi="Arial Narrow"/>
          <w:b/>
          <w:bCs/>
        </w:rPr>
      </w:pPr>
    </w:p>
    <w:p w14:paraId="01D5E69C" w14:textId="3A6A70C5" w:rsidR="000B21F9" w:rsidRPr="00A51745" w:rsidRDefault="00356520" w:rsidP="00CC626A">
      <w:pPr>
        <w:tabs>
          <w:tab w:val="left" w:pos="284"/>
        </w:tabs>
        <w:jc w:val="both"/>
        <w:rPr>
          <w:rFonts w:ascii="Arial Narrow" w:hAnsi="Arial Narrow"/>
          <w:b/>
          <w:bCs/>
        </w:rPr>
      </w:pPr>
      <w:r w:rsidRPr="00A51745">
        <w:rPr>
          <w:rFonts w:ascii="Arial Narrow" w:hAnsi="Arial Narrow"/>
          <w:b/>
          <w:szCs w:val="24"/>
          <w:u w:val="single"/>
          <w:lang w:eastAsia="zh-CN"/>
        </w:rPr>
        <w:t>P</w:t>
      </w:r>
      <w:r w:rsidR="000B21F9" w:rsidRPr="00A51745">
        <w:rPr>
          <w:rFonts w:ascii="Arial Narrow" w:hAnsi="Arial Narrow"/>
          <w:b/>
          <w:szCs w:val="24"/>
          <w:u w:val="single"/>
          <w:lang w:eastAsia="zh-CN"/>
        </w:rPr>
        <w:t>rocessos e técnicas de mensuração de risco</w:t>
      </w:r>
      <w:r w:rsidR="000B21F9" w:rsidRPr="00A51745">
        <w:rPr>
          <w:rFonts w:ascii="Arial Narrow" w:hAnsi="Arial Narrow"/>
          <w:b/>
          <w:bCs/>
        </w:rPr>
        <w:cr/>
      </w:r>
    </w:p>
    <w:p w14:paraId="05FC8FF2" w14:textId="2C2AA4A7" w:rsidR="000B21F9" w:rsidRPr="00A51745" w:rsidRDefault="000B21F9" w:rsidP="00AF2845">
      <w:pPr>
        <w:pStyle w:val="ListParagraph"/>
        <w:numPr>
          <w:ilvl w:val="0"/>
          <w:numId w:val="2"/>
        </w:numPr>
        <w:tabs>
          <w:tab w:val="left" w:pos="284"/>
        </w:tabs>
        <w:spacing w:after="0" w:line="240" w:lineRule="auto"/>
        <w:ind w:left="0" w:firstLine="0"/>
        <w:jc w:val="both"/>
        <w:rPr>
          <w:rFonts w:ascii="Arial Narrow" w:hAnsi="Arial Narrow"/>
          <w:b/>
          <w:bCs/>
        </w:rPr>
      </w:pPr>
      <w:r w:rsidRPr="00A51745">
        <w:rPr>
          <w:rFonts w:ascii="Arial Narrow" w:hAnsi="Arial Narrow"/>
          <w:b/>
          <w:bCs/>
        </w:rPr>
        <w:lastRenderedPageBreak/>
        <w:t xml:space="preserve">Risco de </w:t>
      </w:r>
      <w:r w:rsidR="00B950AA" w:rsidRPr="00A51745">
        <w:rPr>
          <w:rFonts w:ascii="Arial Narrow" w:hAnsi="Arial Narrow"/>
          <w:b/>
          <w:bCs/>
        </w:rPr>
        <w:t>Mercado</w:t>
      </w:r>
    </w:p>
    <w:p w14:paraId="452ADCE8" w14:textId="49325592" w:rsidR="000B21F9" w:rsidRPr="00A51745" w:rsidRDefault="000B21F9" w:rsidP="00CC626A">
      <w:pPr>
        <w:pStyle w:val="Default"/>
        <w:tabs>
          <w:tab w:val="left" w:pos="284"/>
        </w:tabs>
        <w:jc w:val="both"/>
        <w:rPr>
          <w:rFonts w:ascii="Arial Narrow" w:hAnsi="Arial Narrow"/>
          <w:color w:val="auto"/>
          <w:sz w:val="22"/>
          <w:szCs w:val="22"/>
        </w:rPr>
      </w:pPr>
      <w:r w:rsidRPr="00A51745">
        <w:rPr>
          <w:rFonts w:ascii="Arial Narrow" w:hAnsi="Arial Narrow"/>
          <w:color w:val="auto"/>
          <w:sz w:val="22"/>
          <w:szCs w:val="22"/>
        </w:rPr>
        <w:t xml:space="preserve">Existem várias formas de </w:t>
      </w:r>
      <w:r w:rsidR="00D12D99" w:rsidRPr="00A51745">
        <w:rPr>
          <w:rFonts w:ascii="Arial Narrow" w:hAnsi="Arial Narrow"/>
          <w:color w:val="auto"/>
          <w:sz w:val="22"/>
          <w:szCs w:val="22"/>
        </w:rPr>
        <w:t xml:space="preserve">analisar </w:t>
      </w:r>
      <w:r w:rsidRPr="00A51745">
        <w:rPr>
          <w:rFonts w:ascii="Arial Narrow" w:hAnsi="Arial Narrow"/>
          <w:color w:val="auto"/>
          <w:sz w:val="22"/>
          <w:szCs w:val="22"/>
        </w:rPr>
        <w:t xml:space="preserve">e mensurar o Risco de </w:t>
      </w:r>
      <w:r w:rsidR="009907F5" w:rsidRPr="00A51745">
        <w:rPr>
          <w:rFonts w:ascii="Arial Narrow" w:hAnsi="Arial Narrow"/>
          <w:color w:val="auto"/>
          <w:sz w:val="22"/>
          <w:szCs w:val="22"/>
        </w:rPr>
        <w:t>Mercado</w:t>
      </w:r>
      <w:r w:rsidRPr="00A51745">
        <w:rPr>
          <w:rFonts w:ascii="Arial Narrow" w:hAnsi="Arial Narrow"/>
          <w:color w:val="auto"/>
          <w:sz w:val="22"/>
          <w:szCs w:val="22"/>
        </w:rPr>
        <w:t xml:space="preserve">. Em conexão com os processos </w:t>
      </w:r>
      <w:r w:rsidR="00A02EB2" w:rsidRPr="00A51745">
        <w:rPr>
          <w:rFonts w:ascii="Arial Narrow" w:hAnsi="Arial Narrow"/>
          <w:color w:val="auto"/>
          <w:sz w:val="22"/>
          <w:szCs w:val="22"/>
        </w:rPr>
        <w:t>da política de riscos</w:t>
      </w:r>
      <w:r w:rsidR="00A25F09" w:rsidRPr="00A51745">
        <w:rPr>
          <w:rFonts w:ascii="Arial Narrow" w:hAnsi="Arial Narrow"/>
          <w:color w:val="auto"/>
          <w:sz w:val="22"/>
          <w:szCs w:val="22"/>
        </w:rPr>
        <w:t xml:space="preserve"> </w:t>
      </w:r>
      <w:r w:rsidRPr="00A51745">
        <w:rPr>
          <w:rFonts w:ascii="Arial Narrow" w:hAnsi="Arial Narrow"/>
          <w:color w:val="auto"/>
          <w:sz w:val="22"/>
          <w:szCs w:val="22"/>
        </w:rPr>
        <w:t xml:space="preserve">da </w:t>
      </w:r>
      <w:r w:rsidR="00A25F09" w:rsidRPr="00A51745">
        <w:rPr>
          <w:rFonts w:ascii="Arial Narrow" w:hAnsi="Arial Narrow"/>
          <w:color w:val="auto"/>
          <w:sz w:val="22"/>
          <w:szCs w:val="22"/>
        </w:rPr>
        <w:t>abrdn</w:t>
      </w:r>
      <w:r w:rsidRPr="00A51745">
        <w:rPr>
          <w:rFonts w:ascii="Arial Narrow" w:hAnsi="Arial Narrow"/>
          <w:color w:val="auto"/>
          <w:sz w:val="22"/>
          <w:szCs w:val="22"/>
        </w:rPr>
        <w:t xml:space="preserve"> Brasil, a </w:t>
      </w:r>
      <w:r w:rsidR="00A25F09" w:rsidRPr="00A51745">
        <w:rPr>
          <w:rFonts w:ascii="Arial Narrow" w:hAnsi="Arial Narrow"/>
          <w:color w:val="auto"/>
          <w:sz w:val="22"/>
          <w:szCs w:val="22"/>
        </w:rPr>
        <w:t xml:space="preserve">abrdn </w:t>
      </w:r>
      <w:r w:rsidRPr="00A51745">
        <w:rPr>
          <w:rFonts w:ascii="Arial Narrow" w:hAnsi="Arial Narrow"/>
          <w:color w:val="auto"/>
          <w:sz w:val="22"/>
          <w:szCs w:val="22"/>
        </w:rPr>
        <w:t xml:space="preserve"> reconhece que cada método é diferente e tem suas próprias percepções e limites exclusivos. Quando aplicável, a </w:t>
      </w:r>
      <w:r w:rsidR="00A25F09" w:rsidRPr="00A51745">
        <w:rPr>
          <w:rFonts w:ascii="Arial Narrow" w:hAnsi="Arial Narrow"/>
          <w:color w:val="auto"/>
          <w:sz w:val="22"/>
          <w:szCs w:val="22"/>
        </w:rPr>
        <w:t>abrdn</w:t>
      </w:r>
      <w:r w:rsidRPr="00A51745">
        <w:rPr>
          <w:rFonts w:ascii="Arial Narrow" w:hAnsi="Arial Narrow"/>
          <w:color w:val="auto"/>
          <w:sz w:val="22"/>
          <w:szCs w:val="22"/>
        </w:rPr>
        <w:t xml:space="preserve"> pode aplicar as seguintes medidas para cada respectiva estratégia: </w:t>
      </w:r>
    </w:p>
    <w:p w14:paraId="18697E46" w14:textId="77777777" w:rsidR="006812BA" w:rsidRPr="00A51745" w:rsidRDefault="006812BA" w:rsidP="00CC626A">
      <w:pPr>
        <w:pStyle w:val="Default"/>
        <w:tabs>
          <w:tab w:val="left" w:pos="284"/>
        </w:tabs>
        <w:jc w:val="both"/>
        <w:rPr>
          <w:rFonts w:ascii="Arial Narrow" w:hAnsi="Arial Narrow"/>
          <w:color w:val="auto"/>
          <w:sz w:val="22"/>
          <w:szCs w:val="22"/>
        </w:rPr>
      </w:pPr>
    </w:p>
    <w:p w14:paraId="221E115B" w14:textId="2BF862FA" w:rsidR="00330F3E" w:rsidRPr="00A51745" w:rsidRDefault="000B21F9" w:rsidP="00356520">
      <w:pPr>
        <w:pStyle w:val="ListParagraph"/>
        <w:numPr>
          <w:ilvl w:val="0"/>
          <w:numId w:val="32"/>
        </w:numPr>
        <w:spacing w:after="120"/>
        <w:jc w:val="both"/>
        <w:rPr>
          <w:rFonts w:ascii="Arial Narrow" w:hAnsi="Arial Narrow"/>
          <w:b/>
          <w:bCs/>
        </w:rPr>
      </w:pPr>
      <w:r w:rsidRPr="00A51745">
        <w:rPr>
          <w:rFonts w:ascii="Arial Narrow" w:hAnsi="Arial Narrow"/>
          <w:b/>
          <w:bCs/>
        </w:rPr>
        <w:t xml:space="preserve">Alavancagem </w:t>
      </w:r>
      <w:r w:rsidRPr="00A51745">
        <w:rPr>
          <w:rFonts w:ascii="Arial Narrow" w:hAnsi="Arial Narrow"/>
        </w:rPr>
        <w:t>tem o efeito de alavancar o desempenho esperado de um Fundo, permitindo</w:t>
      </w:r>
      <w:r w:rsidR="00065C04" w:rsidRPr="00A51745">
        <w:rPr>
          <w:rFonts w:ascii="Arial Narrow" w:hAnsi="Arial Narrow"/>
        </w:rPr>
        <w:t xml:space="preserve"> que o fundo</w:t>
      </w:r>
      <w:r w:rsidRPr="00A51745">
        <w:rPr>
          <w:rFonts w:ascii="Arial Narrow" w:hAnsi="Arial Narrow"/>
        </w:rPr>
        <w:t xml:space="preserve"> obte</w:t>
      </w:r>
      <w:r w:rsidR="00065C04" w:rsidRPr="00A51745">
        <w:rPr>
          <w:rFonts w:ascii="Arial Narrow" w:hAnsi="Arial Narrow"/>
        </w:rPr>
        <w:t>nha</w:t>
      </w:r>
      <w:r w:rsidR="00A25F09" w:rsidRPr="00A51745">
        <w:rPr>
          <w:rFonts w:ascii="Arial Narrow" w:hAnsi="Arial Narrow"/>
        </w:rPr>
        <w:t xml:space="preserve"> </w:t>
      </w:r>
      <w:r w:rsidRPr="00A51745">
        <w:rPr>
          <w:rFonts w:ascii="Arial Narrow" w:hAnsi="Arial Narrow"/>
        </w:rPr>
        <w:t>maior exposição às oportunidades de investimento subjacentes (ganhos e perdas). Quanto maior a alavancagem, maior o risco (perda potencial).</w:t>
      </w:r>
      <w:r w:rsidRPr="00A51745">
        <w:rPr>
          <w:rFonts w:ascii="Arial Narrow" w:hAnsi="Arial Narrow"/>
          <w:b/>
          <w:bCs/>
        </w:rPr>
        <w:t xml:space="preserve"> </w:t>
      </w:r>
    </w:p>
    <w:p w14:paraId="768CA64C" w14:textId="77777777" w:rsidR="00AC2022" w:rsidRPr="00A51745" w:rsidRDefault="00AC2022" w:rsidP="00E109A8">
      <w:pPr>
        <w:pStyle w:val="Default"/>
        <w:tabs>
          <w:tab w:val="left" w:pos="360"/>
        </w:tabs>
        <w:ind w:left="360" w:hanging="270"/>
        <w:jc w:val="both"/>
        <w:rPr>
          <w:rFonts w:ascii="Arial Narrow" w:hAnsi="Arial Narrow"/>
          <w:color w:val="auto"/>
          <w:sz w:val="16"/>
          <w:szCs w:val="16"/>
        </w:rPr>
      </w:pPr>
    </w:p>
    <w:p w14:paraId="0CD4B470" w14:textId="232F7AE3" w:rsidR="00330F3E" w:rsidRPr="00A51745" w:rsidRDefault="000B21F9" w:rsidP="00356520">
      <w:pPr>
        <w:pStyle w:val="ListParagraph"/>
        <w:numPr>
          <w:ilvl w:val="0"/>
          <w:numId w:val="32"/>
        </w:numPr>
        <w:spacing w:after="120"/>
        <w:jc w:val="both"/>
        <w:rPr>
          <w:rFonts w:ascii="Arial Narrow" w:hAnsi="Arial Narrow"/>
        </w:rPr>
      </w:pPr>
      <w:proofErr w:type="spellStart"/>
      <w:r w:rsidRPr="00A51745">
        <w:rPr>
          <w:rFonts w:ascii="Arial Narrow" w:hAnsi="Arial Narrow"/>
          <w:b/>
          <w:bCs/>
        </w:rPr>
        <w:t>Value</w:t>
      </w:r>
      <w:proofErr w:type="spellEnd"/>
      <w:r w:rsidRPr="00A51745">
        <w:rPr>
          <w:rFonts w:ascii="Arial Narrow" w:hAnsi="Arial Narrow"/>
          <w:b/>
          <w:bCs/>
        </w:rPr>
        <w:t>-</w:t>
      </w:r>
      <w:proofErr w:type="spellStart"/>
      <w:r w:rsidRPr="00A51745">
        <w:rPr>
          <w:rFonts w:ascii="Arial Narrow" w:hAnsi="Arial Narrow"/>
          <w:b/>
          <w:bCs/>
        </w:rPr>
        <w:t>at</w:t>
      </w:r>
      <w:proofErr w:type="spellEnd"/>
      <w:r w:rsidRPr="00A51745">
        <w:rPr>
          <w:rFonts w:ascii="Arial Narrow" w:hAnsi="Arial Narrow"/>
          <w:b/>
          <w:bCs/>
        </w:rPr>
        <w:t xml:space="preserve">-Risk (Valor </w:t>
      </w:r>
      <w:r w:rsidR="00D12D99" w:rsidRPr="00A51745">
        <w:rPr>
          <w:rFonts w:ascii="Arial Narrow" w:hAnsi="Arial Narrow"/>
          <w:b/>
          <w:bCs/>
        </w:rPr>
        <w:t xml:space="preserve">em </w:t>
      </w:r>
      <w:r w:rsidRPr="00A51745">
        <w:rPr>
          <w:rFonts w:ascii="Arial Narrow" w:hAnsi="Arial Narrow"/>
          <w:b/>
          <w:bCs/>
        </w:rPr>
        <w:t>Risco) (</w:t>
      </w:r>
      <w:proofErr w:type="spellStart"/>
      <w:r w:rsidRPr="00A51745">
        <w:rPr>
          <w:rFonts w:ascii="Arial Narrow" w:hAnsi="Arial Narrow"/>
          <w:b/>
          <w:bCs/>
        </w:rPr>
        <w:t>VaR</w:t>
      </w:r>
      <w:proofErr w:type="spellEnd"/>
      <w:r w:rsidRPr="00A51745">
        <w:rPr>
          <w:rFonts w:ascii="Arial Narrow" w:hAnsi="Arial Narrow"/>
          <w:b/>
          <w:bCs/>
        </w:rPr>
        <w:t xml:space="preserve">), </w:t>
      </w:r>
      <w:proofErr w:type="spellStart"/>
      <w:r w:rsidRPr="00A51745">
        <w:rPr>
          <w:rFonts w:ascii="Arial Narrow" w:hAnsi="Arial Narrow"/>
          <w:b/>
          <w:bCs/>
        </w:rPr>
        <w:t>VaR</w:t>
      </w:r>
      <w:proofErr w:type="spellEnd"/>
      <w:r w:rsidRPr="00A51745">
        <w:rPr>
          <w:rFonts w:ascii="Arial Narrow" w:hAnsi="Arial Narrow"/>
          <w:b/>
          <w:bCs/>
        </w:rPr>
        <w:t xml:space="preserve"> condicional (</w:t>
      </w:r>
      <w:proofErr w:type="spellStart"/>
      <w:r w:rsidRPr="00A51745">
        <w:rPr>
          <w:rFonts w:ascii="Arial Narrow" w:hAnsi="Arial Narrow"/>
          <w:b/>
          <w:bCs/>
        </w:rPr>
        <w:t>CVaR</w:t>
      </w:r>
      <w:proofErr w:type="spellEnd"/>
      <w:r w:rsidRPr="00A51745">
        <w:rPr>
          <w:rFonts w:ascii="Arial Narrow" w:hAnsi="Arial Narrow"/>
          <w:b/>
          <w:bCs/>
        </w:rPr>
        <w:t xml:space="preserve">) e índice </w:t>
      </w:r>
      <w:proofErr w:type="spellStart"/>
      <w:r w:rsidRPr="00A51745">
        <w:rPr>
          <w:rFonts w:ascii="Arial Narrow" w:hAnsi="Arial Narrow"/>
          <w:b/>
          <w:bCs/>
        </w:rPr>
        <w:t>VaR</w:t>
      </w:r>
      <w:proofErr w:type="spellEnd"/>
      <w:r w:rsidRPr="00A51745">
        <w:rPr>
          <w:rFonts w:ascii="Arial Narrow" w:hAnsi="Arial Narrow"/>
          <w:b/>
          <w:bCs/>
        </w:rPr>
        <w:t xml:space="preserve">: </w:t>
      </w:r>
      <w:r w:rsidRPr="00A51745">
        <w:rPr>
          <w:rFonts w:ascii="Arial Narrow" w:hAnsi="Arial Narrow"/>
        </w:rPr>
        <w:t xml:space="preserve">O </w:t>
      </w:r>
      <w:proofErr w:type="spellStart"/>
      <w:r w:rsidRPr="00A51745">
        <w:rPr>
          <w:rFonts w:ascii="Arial Narrow" w:hAnsi="Arial Narrow"/>
        </w:rPr>
        <w:t>VaR</w:t>
      </w:r>
      <w:proofErr w:type="spellEnd"/>
      <w:r w:rsidRPr="00A51745">
        <w:rPr>
          <w:rFonts w:ascii="Arial Narrow" w:hAnsi="Arial Narrow"/>
        </w:rPr>
        <w:t xml:space="preserve"> mensura com um grau de confiança o máximo que a estratégia pode esperar perder em um determinado período de tempo. Considerando uma distribuição normal (Gaussiana), esta é uma função da volatilidade d</w:t>
      </w:r>
      <w:r w:rsidR="00A25F09" w:rsidRPr="00A51745">
        <w:rPr>
          <w:rFonts w:ascii="Arial Narrow" w:hAnsi="Arial Narrow"/>
        </w:rPr>
        <w:t>o Fundo</w:t>
      </w:r>
      <w:r w:rsidRPr="00A51745">
        <w:rPr>
          <w:rFonts w:ascii="Arial Narrow" w:hAnsi="Arial Narrow"/>
        </w:rPr>
        <w:t xml:space="preserve">. Quanto maior a volatilidade, maior o </w:t>
      </w:r>
      <w:proofErr w:type="spellStart"/>
      <w:r w:rsidRPr="00A51745">
        <w:rPr>
          <w:rFonts w:ascii="Arial Narrow" w:hAnsi="Arial Narrow"/>
        </w:rPr>
        <w:t>VaR</w:t>
      </w:r>
      <w:proofErr w:type="spellEnd"/>
      <w:r w:rsidRPr="00A51745">
        <w:rPr>
          <w:rFonts w:ascii="Arial Narrow" w:hAnsi="Arial Narrow"/>
        </w:rPr>
        <w:t xml:space="preserve">, maior o risco. O índice </w:t>
      </w:r>
      <w:proofErr w:type="spellStart"/>
      <w:r w:rsidRPr="00A51745">
        <w:rPr>
          <w:rFonts w:ascii="Arial Narrow" w:hAnsi="Arial Narrow"/>
        </w:rPr>
        <w:t>VaR</w:t>
      </w:r>
      <w:proofErr w:type="spellEnd"/>
      <w:r w:rsidRPr="00A51745">
        <w:rPr>
          <w:rFonts w:ascii="Arial Narrow" w:hAnsi="Arial Narrow"/>
        </w:rPr>
        <w:t xml:space="preserve"> é o </w:t>
      </w:r>
      <w:proofErr w:type="spellStart"/>
      <w:r w:rsidRPr="00A51745">
        <w:rPr>
          <w:rFonts w:ascii="Arial Narrow" w:hAnsi="Arial Narrow"/>
        </w:rPr>
        <w:t>VaR</w:t>
      </w:r>
      <w:proofErr w:type="spellEnd"/>
      <w:r w:rsidRPr="00A51745">
        <w:rPr>
          <w:rFonts w:ascii="Arial Narrow" w:hAnsi="Arial Narrow"/>
        </w:rPr>
        <w:t xml:space="preserve"> do fundo dividido pelo </w:t>
      </w:r>
      <w:proofErr w:type="spellStart"/>
      <w:r w:rsidRPr="00A51745">
        <w:rPr>
          <w:rFonts w:ascii="Arial Narrow" w:hAnsi="Arial Narrow"/>
        </w:rPr>
        <w:t>VaR</w:t>
      </w:r>
      <w:proofErr w:type="spellEnd"/>
      <w:r w:rsidRPr="00A51745">
        <w:rPr>
          <w:rFonts w:ascii="Arial Narrow" w:hAnsi="Arial Narrow"/>
        </w:rPr>
        <w:t xml:space="preserve"> de referência (benchmark </w:t>
      </w:r>
      <w:proofErr w:type="spellStart"/>
      <w:r w:rsidRPr="00A51745">
        <w:rPr>
          <w:rFonts w:ascii="Arial Narrow" w:hAnsi="Arial Narrow"/>
        </w:rPr>
        <w:t>VaR</w:t>
      </w:r>
      <w:proofErr w:type="spellEnd"/>
      <w:r w:rsidRPr="00A51745">
        <w:rPr>
          <w:rFonts w:ascii="Arial Narrow" w:hAnsi="Arial Narrow"/>
        </w:rPr>
        <w:t xml:space="preserve">). </w:t>
      </w:r>
    </w:p>
    <w:p w14:paraId="571AE5DB" w14:textId="77777777" w:rsidR="00AC2022" w:rsidRPr="00A51745" w:rsidRDefault="00AC2022" w:rsidP="00E109A8">
      <w:pPr>
        <w:pStyle w:val="Default"/>
        <w:tabs>
          <w:tab w:val="left" w:pos="360"/>
        </w:tabs>
        <w:ind w:left="360" w:hanging="270"/>
        <w:jc w:val="both"/>
        <w:rPr>
          <w:rFonts w:ascii="Arial Narrow" w:hAnsi="Arial Narrow"/>
          <w:color w:val="auto"/>
          <w:sz w:val="16"/>
          <w:szCs w:val="16"/>
        </w:rPr>
      </w:pPr>
    </w:p>
    <w:p w14:paraId="3DF0F31A" w14:textId="6F8A0A2A" w:rsidR="000B21F9" w:rsidRPr="00A51745" w:rsidRDefault="000B21F9" w:rsidP="00356520">
      <w:pPr>
        <w:pStyle w:val="ListParagraph"/>
        <w:numPr>
          <w:ilvl w:val="0"/>
          <w:numId w:val="32"/>
        </w:numPr>
        <w:spacing w:after="120"/>
        <w:jc w:val="both"/>
        <w:rPr>
          <w:rFonts w:ascii="Arial Narrow" w:hAnsi="Arial Narrow"/>
        </w:rPr>
      </w:pPr>
      <w:r w:rsidRPr="00A51745">
        <w:rPr>
          <w:rFonts w:ascii="Arial Narrow" w:hAnsi="Arial Narrow"/>
          <w:b/>
          <w:bCs/>
        </w:rPr>
        <w:t xml:space="preserve">Volatilidade, </w:t>
      </w:r>
      <w:proofErr w:type="spellStart"/>
      <w:r w:rsidR="00157BBA" w:rsidRPr="00A51745">
        <w:rPr>
          <w:rFonts w:ascii="Arial Narrow" w:hAnsi="Arial Narrow"/>
          <w:b/>
          <w:bCs/>
        </w:rPr>
        <w:t>Tracking</w:t>
      </w:r>
      <w:proofErr w:type="spellEnd"/>
      <w:r w:rsidR="00157BBA" w:rsidRPr="00A51745">
        <w:rPr>
          <w:rFonts w:ascii="Arial Narrow" w:hAnsi="Arial Narrow"/>
          <w:b/>
          <w:bCs/>
        </w:rPr>
        <w:t xml:space="preserve"> </w:t>
      </w:r>
      <w:proofErr w:type="spellStart"/>
      <w:r w:rsidR="00157BBA" w:rsidRPr="00A51745">
        <w:rPr>
          <w:rFonts w:ascii="Arial Narrow" w:hAnsi="Arial Narrow"/>
          <w:b/>
          <w:bCs/>
        </w:rPr>
        <w:t>Error</w:t>
      </w:r>
      <w:proofErr w:type="spellEnd"/>
      <w:r w:rsidR="00157BBA" w:rsidRPr="00A51745">
        <w:rPr>
          <w:rFonts w:ascii="Arial Narrow" w:hAnsi="Arial Narrow"/>
          <w:b/>
          <w:bCs/>
        </w:rPr>
        <w:t xml:space="preserve"> </w:t>
      </w:r>
      <w:r w:rsidRPr="00A51745">
        <w:rPr>
          <w:rFonts w:ascii="Arial Narrow" w:hAnsi="Arial Narrow"/>
          <w:b/>
          <w:bCs/>
        </w:rPr>
        <w:t xml:space="preserve"> (TE</w:t>
      </w:r>
      <w:r w:rsidRPr="00A51745">
        <w:rPr>
          <w:rFonts w:ascii="Arial Narrow" w:hAnsi="Arial Narrow"/>
        </w:rPr>
        <w:t xml:space="preserve">): A volatilidade mensura o tamanho da variação nos retornos que uma estratégia/veículo provavelmente espera. Quanto maior a volatilidade, maior o risco. O TE mensura a magnitude esperada da divergência de retornos entre </w:t>
      </w:r>
      <w:r w:rsidR="00A25F09" w:rsidRPr="00A51745">
        <w:rPr>
          <w:rFonts w:ascii="Arial Narrow" w:hAnsi="Arial Narrow"/>
        </w:rPr>
        <w:t>o Fundo</w:t>
      </w:r>
      <w:r w:rsidRPr="00A51745">
        <w:rPr>
          <w:rFonts w:ascii="Arial Narrow" w:hAnsi="Arial Narrow"/>
        </w:rPr>
        <w:t xml:space="preserve"> e </w:t>
      </w:r>
      <w:r w:rsidR="00157BBA" w:rsidRPr="00A51745">
        <w:rPr>
          <w:rFonts w:ascii="Arial Narrow" w:hAnsi="Arial Narrow"/>
        </w:rPr>
        <w:t xml:space="preserve">o benchmark </w:t>
      </w:r>
      <w:r w:rsidRPr="00A51745">
        <w:rPr>
          <w:rFonts w:ascii="Arial Narrow" w:hAnsi="Arial Narrow"/>
        </w:rPr>
        <w:t xml:space="preserve"> em um determinado período. Para certas classes de ativos, a volatilidade e </w:t>
      </w:r>
      <w:r w:rsidR="00C2768A" w:rsidRPr="00A51745">
        <w:rPr>
          <w:rFonts w:ascii="Arial Narrow" w:hAnsi="Arial Narrow"/>
        </w:rPr>
        <w:t xml:space="preserve">o </w:t>
      </w:r>
      <w:r w:rsidRPr="00A51745">
        <w:rPr>
          <w:rFonts w:ascii="Arial Narrow" w:hAnsi="Arial Narrow"/>
        </w:rPr>
        <w:t>TE são decompost</w:t>
      </w:r>
      <w:r w:rsidR="00C2768A" w:rsidRPr="00A51745">
        <w:rPr>
          <w:rFonts w:ascii="Arial Narrow" w:hAnsi="Arial Narrow"/>
        </w:rPr>
        <w:t>o</w:t>
      </w:r>
      <w:r w:rsidRPr="00A51745">
        <w:rPr>
          <w:rFonts w:ascii="Arial Narrow" w:hAnsi="Arial Narrow"/>
        </w:rPr>
        <w:t xml:space="preserve">s por ativo ou contribuição setorial. </w:t>
      </w:r>
    </w:p>
    <w:p w14:paraId="5FAAFF8A" w14:textId="77777777" w:rsidR="00AC2022" w:rsidRPr="00A51745" w:rsidRDefault="00AC2022" w:rsidP="00E109A8">
      <w:pPr>
        <w:pStyle w:val="Default"/>
        <w:tabs>
          <w:tab w:val="left" w:pos="360"/>
        </w:tabs>
        <w:ind w:left="360" w:hanging="270"/>
        <w:jc w:val="both"/>
        <w:rPr>
          <w:rFonts w:ascii="Arial Narrow" w:hAnsi="Arial Narrow"/>
          <w:color w:val="auto"/>
          <w:sz w:val="16"/>
          <w:szCs w:val="16"/>
        </w:rPr>
      </w:pPr>
    </w:p>
    <w:p w14:paraId="0F762709" w14:textId="7D3591AF" w:rsidR="00AC2022" w:rsidRPr="00A51745" w:rsidRDefault="003A60AE" w:rsidP="00C30636">
      <w:pPr>
        <w:pStyle w:val="ListParagraph"/>
        <w:spacing w:after="120"/>
        <w:jc w:val="both"/>
        <w:rPr>
          <w:rFonts w:ascii="Arial Narrow" w:hAnsi="Arial Narrow"/>
          <w:b/>
          <w:bCs/>
        </w:rPr>
      </w:pPr>
      <w:r w:rsidRPr="00A51745">
        <w:rPr>
          <w:rFonts w:ascii="Arial Narrow" w:hAnsi="Arial Narrow"/>
          <w:b/>
          <w:bCs/>
        </w:rPr>
        <w:t xml:space="preserve">Decomposição de Risco: </w:t>
      </w:r>
      <w:r w:rsidRPr="00A51745">
        <w:rPr>
          <w:rFonts w:ascii="Arial Narrow" w:hAnsi="Arial Narrow"/>
        </w:rPr>
        <w:t xml:space="preserve">A volatilidade, o </w:t>
      </w:r>
      <w:proofErr w:type="spellStart"/>
      <w:r w:rsidR="00C30636" w:rsidRPr="00A51745">
        <w:rPr>
          <w:rFonts w:ascii="Arial Narrow" w:hAnsi="Arial Narrow"/>
        </w:rPr>
        <w:t>Tracking</w:t>
      </w:r>
      <w:proofErr w:type="spellEnd"/>
      <w:r w:rsidR="00C30636" w:rsidRPr="00A51745">
        <w:rPr>
          <w:rFonts w:ascii="Arial Narrow" w:hAnsi="Arial Narrow"/>
        </w:rPr>
        <w:t xml:space="preserve"> </w:t>
      </w:r>
      <w:proofErr w:type="spellStart"/>
      <w:r w:rsidR="00C30636" w:rsidRPr="00A51745">
        <w:rPr>
          <w:rFonts w:ascii="Arial Narrow" w:hAnsi="Arial Narrow"/>
        </w:rPr>
        <w:t>Error</w:t>
      </w:r>
      <w:proofErr w:type="spellEnd"/>
      <w:r w:rsidRPr="00A51745">
        <w:rPr>
          <w:rFonts w:ascii="Arial Narrow" w:hAnsi="Arial Narrow"/>
        </w:rPr>
        <w:t xml:space="preserve"> e o </w:t>
      </w:r>
      <w:proofErr w:type="spellStart"/>
      <w:r w:rsidRPr="00A51745">
        <w:rPr>
          <w:rFonts w:ascii="Arial Narrow" w:hAnsi="Arial Narrow"/>
        </w:rPr>
        <w:t>VaR</w:t>
      </w:r>
      <w:proofErr w:type="spellEnd"/>
      <w:r w:rsidRPr="00A51745">
        <w:rPr>
          <w:rFonts w:ascii="Arial Narrow" w:hAnsi="Arial Narrow"/>
        </w:rPr>
        <w:t xml:space="preserve"> podem ser discriminados para mostrar contribuição de fatores relacionados ao mercado (Risco</w:t>
      </w:r>
      <w:r w:rsidR="00C30636" w:rsidRPr="00A51745">
        <w:rPr>
          <w:rFonts w:ascii="Arial Narrow" w:hAnsi="Arial Narrow"/>
        </w:rPr>
        <w:t xml:space="preserve"> </w:t>
      </w:r>
      <w:r w:rsidRPr="00A51745">
        <w:rPr>
          <w:rFonts w:ascii="Arial Narrow" w:hAnsi="Arial Narrow"/>
        </w:rPr>
        <w:t xml:space="preserve">"Sistemático") e instrumento específico (Risco Idiossincrático). Esta não é uma medida diferente como tal, mas pretende destacar as fontes de volatilidade e </w:t>
      </w:r>
      <w:proofErr w:type="spellStart"/>
      <w:r w:rsidRPr="00A51745">
        <w:rPr>
          <w:rFonts w:ascii="Arial Narrow" w:hAnsi="Arial Narrow"/>
        </w:rPr>
        <w:t>VaR</w:t>
      </w:r>
      <w:proofErr w:type="spellEnd"/>
      <w:r w:rsidRPr="00A51745">
        <w:rPr>
          <w:rFonts w:ascii="Arial Narrow" w:hAnsi="Arial Narrow"/>
          <w:b/>
          <w:bCs/>
        </w:rPr>
        <w:t xml:space="preserve"> </w:t>
      </w:r>
    </w:p>
    <w:p w14:paraId="42C430C7" w14:textId="54529998" w:rsidR="000B21F9" w:rsidRPr="00A51745" w:rsidRDefault="000B21F9" w:rsidP="00356520">
      <w:pPr>
        <w:pStyle w:val="ListParagraph"/>
        <w:numPr>
          <w:ilvl w:val="0"/>
          <w:numId w:val="32"/>
        </w:numPr>
        <w:spacing w:after="120"/>
        <w:jc w:val="both"/>
        <w:rPr>
          <w:rFonts w:ascii="Arial Narrow" w:hAnsi="Arial Narrow"/>
        </w:rPr>
      </w:pPr>
      <w:r w:rsidRPr="00A51745">
        <w:rPr>
          <w:rFonts w:ascii="Arial Narrow" w:hAnsi="Arial Narrow"/>
          <w:b/>
          <w:bCs/>
        </w:rPr>
        <w:t xml:space="preserve">Posicionamento ativo: </w:t>
      </w:r>
      <w:r w:rsidRPr="00A51745">
        <w:rPr>
          <w:rFonts w:ascii="Arial Narrow" w:hAnsi="Arial Narrow"/>
        </w:rPr>
        <w:t xml:space="preserve">analisa de que forma a estratégia/veículo se posiciona em relação ao seu </w:t>
      </w:r>
      <w:r w:rsidR="00157BBA" w:rsidRPr="00A51745">
        <w:rPr>
          <w:rFonts w:ascii="Arial Narrow" w:hAnsi="Arial Narrow"/>
        </w:rPr>
        <w:t xml:space="preserve">benchmark </w:t>
      </w:r>
      <w:r w:rsidRPr="00A51745">
        <w:rPr>
          <w:rFonts w:ascii="Arial Narrow" w:hAnsi="Arial Narrow"/>
        </w:rPr>
        <w:t xml:space="preserve"> </w:t>
      </w:r>
      <w:r w:rsidR="00C30636" w:rsidRPr="00A51745">
        <w:rPr>
          <w:rFonts w:ascii="Arial Narrow" w:hAnsi="Arial Narrow"/>
        </w:rPr>
        <w:t xml:space="preserve"> em relação ao setor, país e outras características. </w:t>
      </w:r>
    </w:p>
    <w:p w14:paraId="7B901815" w14:textId="77777777" w:rsidR="00D5082D" w:rsidRPr="00A51745" w:rsidRDefault="00D5082D" w:rsidP="00D5082D">
      <w:pPr>
        <w:pStyle w:val="Default"/>
        <w:ind w:left="360"/>
        <w:jc w:val="both"/>
        <w:rPr>
          <w:rFonts w:ascii="Arial Narrow" w:hAnsi="Arial Narrow"/>
          <w:b/>
          <w:bCs/>
          <w:color w:val="auto"/>
          <w:sz w:val="16"/>
          <w:szCs w:val="22"/>
        </w:rPr>
      </w:pPr>
    </w:p>
    <w:p w14:paraId="61F8DD01" w14:textId="5DEC31BA" w:rsidR="000B21F9" w:rsidRPr="00A51745" w:rsidRDefault="000B21F9" w:rsidP="00356520">
      <w:pPr>
        <w:pStyle w:val="ListParagraph"/>
        <w:numPr>
          <w:ilvl w:val="0"/>
          <w:numId w:val="32"/>
        </w:numPr>
        <w:spacing w:after="120"/>
        <w:jc w:val="both"/>
        <w:rPr>
          <w:rFonts w:ascii="Arial Narrow" w:hAnsi="Arial Narrow"/>
        </w:rPr>
      </w:pPr>
      <w:r w:rsidRPr="00A51745">
        <w:rPr>
          <w:rFonts w:ascii="Arial Narrow" w:hAnsi="Arial Narrow"/>
          <w:b/>
          <w:bCs/>
        </w:rPr>
        <w:t>Análise de Sensibilidade:</w:t>
      </w:r>
      <w:r w:rsidRPr="00A51745">
        <w:rPr>
          <w:rFonts w:ascii="Arial Narrow" w:hAnsi="Arial Narrow"/>
        </w:rPr>
        <w:t xml:space="preserve"> </w:t>
      </w:r>
      <w:proofErr w:type="spellStart"/>
      <w:r w:rsidRPr="00A51745">
        <w:rPr>
          <w:rFonts w:ascii="Arial Narrow" w:hAnsi="Arial Narrow"/>
        </w:rPr>
        <w:t>Dura</w:t>
      </w:r>
      <w:r w:rsidR="00157BBA" w:rsidRPr="00A51745">
        <w:rPr>
          <w:rFonts w:ascii="Arial Narrow" w:hAnsi="Arial Narrow"/>
        </w:rPr>
        <w:t>tion</w:t>
      </w:r>
      <w:proofErr w:type="spellEnd"/>
      <w:r w:rsidR="00157BBA" w:rsidRPr="00A51745">
        <w:rPr>
          <w:rFonts w:ascii="Arial Narrow" w:hAnsi="Arial Narrow"/>
        </w:rPr>
        <w:t xml:space="preserve">  </w:t>
      </w:r>
      <w:r w:rsidRPr="00A51745">
        <w:rPr>
          <w:rFonts w:ascii="Arial Narrow" w:hAnsi="Arial Narrow"/>
        </w:rPr>
        <w:t xml:space="preserve"> efetiva e valor monetário </w:t>
      </w:r>
      <w:r w:rsidR="00C30636" w:rsidRPr="00A51745">
        <w:rPr>
          <w:rFonts w:ascii="Arial Narrow" w:hAnsi="Arial Narrow"/>
        </w:rPr>
        <w:t xml:space="preserve">por </w:t>
      </w:r>
      <w:proofErr w:type="spellStart"/>
      <w:r w:rsidR="00C30636" w:rsidRPr="00A51745">
        <w:rPr>
          <w:rFonts w:ascii="Arial Narrow" w:hAnsi="Arial Narrow"/>
        </w:rPr>
        <w:t>ponto</w:t>
      </w:r>
      <w:proofErr w:type="spellEnd"/>
      <w:r w:rsidR="00C30636" w:rsidRPr="00A51745">
        <w:rPr>
          <w:rFonts w:ascii="Arial Narrow" w:hAnsi="Arial Narrow"/>
        </w:rPr>
        <w:t xml:space="preserve"> base (DV01) permitem a quantificação do risco de taxa de juros entre as carteiras. O risco de crédito é quantificado através do DTS (</w:t>
      </w:r>
      <w:proofErr w:type="spellStart"/>
      <w:r w:rsidR="00C30636" w:rsidRPr="00A51745">
        <w:rPr>
          <w:rFonts w:ascii="Arial Narrow" w:hAnsi="Arial Narrow"/>
        </w:rPr>
        <w:t>Duration</w:t>
      </w:r>
      <w:proofErr w:type="spellEnd"/>
      <w:r w:rsidR="00C30636" w:rsidRPr="00A51745">
        <w:rPr>
          <w:rFonts w:ascii="Arial Narrow" w:hAnsi="Arial Narrow"/>
        </w:rPr>
        <w:t xml:space="preserve"> Times Spread).</w:t>
      </w:r>
    </w:p>
    <w:p w14:paraId="2343677A" w14:textId="77777777" w:rsidR="00AC2022" w:rsidRPr="00A51745" w:rsidRDefault="00AC2022" w:rsidP="00E109A8">
      <w:pPr>
        <w:pStyle w:val="Default"/>
        <w:tabs>
          <w:tab w:val="left" w:pos="284"/>
        </w:tabs>
        <w:ind w:left="720"/>
        <w:jc w:val="both"/>
        <w:rPr>
          <w:rFonts w:ascii="Arial Narrow" w:hAnsi="Arial Narrow"/>
          <w:color w:val="auto"/>
          <w:sz w:val="16"/>
          <w:szCs w:val="16"/>
        </w:rPr>
      </w:pPr>
    </w:p>
    <w:p w14:paraId="5B9F8687" w14:textId="5C2B87D1" w:rsidR="00AC2022" w:rsidRPr="00A51745" w:rsidRDefault="000B21F9" w:rsidP="00356520">
      <w:pPr>
        <w:pStyle w:val="Default"/>
        <w:numPr>
          <w:ilvl w:val="0"/>
          <w:numId w:val="36"/>
        </w:numPr>
        <w:tabs>
          <w:tab w:val="left" w:pos="1134"/>
        </w:tabs>
        <w:ind w:left="851" w:firstLine="0"/>
        <w:jc w:val="both"/>
        <w:rPr>
          <w:rFonts w:ascii="Arial Narrow" w:hAnsi="Arial Narrow"/>
          <w:color w:val="auto"/>
          <w:sz w:val="22"/>
          <w:szCs w:val="22"/>
        </w:rPr>
      </w:pPr>
      <w:r w:rsidRPr="00A51745">
        <w:rPr>
          <w:rFonts w:ascii="Arial Narrow" w:hAnsi="Arial Narrow"/>
          <w:color w:val="auto"/>
          <w:sz w:val="22"/>
          <w:szCs w:val="22"/>
        </w:rPr>
        <w:lastRenderedPageBreak/>
        <w:t xml:space="preserve">Duração </w:t>
      </w:r>
      <w:r w:rsidR="00C2768A" w:rsidRPr="00A51745">
        <w:rPr>
          <w:rFonts w:ascii="Arial Narrow" w:hAnsi="Arial Narrow"/>
          <w:color w:val="auto"/>
          <w:sz w:val="22"/>
          <w:szCs w:val="22"/>
        </w:rPr>
        <w:t>(</w:t>
      </w:r>
      <w:proofErr w:type="spellStart"/>
      <w:r w:rsidR="00C2768A" w:rsidRPr="00A51745">
        <w:rPr>
          <w:rFonts w:ascii="Arial Narrow" w:hAnsi="Arial Narrow"/>
          <w:i/>
          <w:iCs/>
          <w:color w:val="auto"/>
          <w:sz w:val="22"/>
          <w:szCs w:val="22"/>
        </w:rPr>
        <w:t>duration</w:t>
      </w:r>
      <w:proofErr w:type="spellEnd"/>
      <w:r w:rsidR="00C2768A" w:rsidRPr="00A51745">
        <w:rPr>
          <w:rFonts w:ascii="Arial Narrow" w:hAnsi="Arial Narrow"/>
          <w:color w:val="auto"/>
          <w:sz w:val="22"/>
          <w:szCs w:val="22"/>
        </w:rPr>
        <w:t xml:space="preserve">) </w:t>
      </w:r>
      <w:r w:rsidRPr="00A51745">
        <w:rPr>
          <w:rFonts w:ascii="Arial Narrow" w:hAnsi="Arial Narrow"/>
          <w:color w:val="auto"/>
          <w:sz w:val="22"/>
          <w:szCs w:val="22"/>
        </w:rPr>
        <w:t xml:space="preserve">é o vencimento médio ponderado dos fluxos de caixa dos ativos. Quanto maior a </w:t>
      </w:r>
      <w:proofErr w:type="spellStart"/>
      <w:r w:rsidRPr="00A51745">
        <w:rPr>
          <w:rFonts w:ascii="Arial Narrow" w:hAnsi="Arial Narrow"/>
          <w:i/>
          <w:iCs/>
          <w:color w:val="auto"/>
        </w:rPr>
        <w:t>dura</w:t>
      </w:r>
      <w:r w:rsidR="00157BBA" w:rsidRPr="00A51745">
        <w:rPr>
          <w:rFonts w:ascii="Arial Narrow" w:hAnsi="Arial Narrow"/>
          <w:i/>
          <w:iCs/>
          <w:color w:val="auto"/>
        </w:rPr>
        <w:t>tion</w:t>
      </w:r>
      <w:proofErr w:type="spellEnd"/>
      <w:r w:rsidR="00157BBA" w:rsidRPr="00A51745">
        <w:rPr>
          <w:rFonts w:ascii="Arial Narrow" w:hAnsi="Arial Narrow"/>
          <w:color w:val="auto"/>
          <w:sz w:val="22"/>
          <w:szCs w:val="22"/>
        </w:rPr>
        <w:t xml:space="preserve"> </w:t>
      </w:r>
      <w:r w:rsidRPr="00A51745">
        <w:rPr>
          <w:rFonts w:ascii="Arial Narrow" w:hAnsi="Arial Narrow"/>
          <w:color w:val="auto"/>
          <w:sz w:val="22"/>
          <w:szCs w:val="22"/>
        </w:rPr>
        <w:t xml:space="preserve"> de um ativo, maior sua sensibilidade às variações da taxa de juro. </w:t>
      </w:r>
    </w:p>
    <w:p w14:paraId="22A5ACEA" w14:textId="77777777" w:rsidR="000B1E46" w:rsidRPr="00A51745" w:rsidRDefault="000B1E46" w:rsidP="00356520">
      <w:pPr>
        <w:pStyle w:val="Default"/>
        <w:tabs>
          <w:tab w:val="left" w:pos="1134"/>
        </w:tabs>
        <w:ind w:left="851"/>
        <w:jc w:val="both"/>
        <w:rPr>
          <w:rFonts w:ascii="Arial Narrow" w:hAnsi="Arial Narrow"/>
          <w:color w:val="auto"/>
          <w:sz w:val="22"/>
          <w:szCs w:val="22"/>
        </w:rPr>
      </w:pPr>
    </w:p>
    <w:p w14:paraId="11F8DB9D" w14:textId="0D0652A4" w:rsidR="000B21F9" w:rsidRPr="00A51745" w:rsidRDefault="000B21F9" w:rsidP="00356520">
      <w:pPr>
        <w:pStyle w:val="Default"/>
        <w:numPr>
          <w:ilvl w:val="0"/>
          <w:numId w:val="36"/>
        </w:numPr>
        <w:tabs>
          <w:tab w:val="left" w:pos="1134"/>
        </w:tabs>
        <w:ind w:left="851" w:firstLine="0"/>
        <w:jc w:val="both"/>
        <w:rPr>
          <w:rFonts w:ascii="Arial Narrow" w:hAnsi="Arial Narrow"/>
          <w:color w:val="auto"/>
          <w:sz w:val="22"/>
          <w:szCs w:val="22"/>
        </w:rPr>
      </w:pPr>
      <w:r w:rsidRPr="00A51745">
        <w:rPr>
          <w:rFonts w:ascii="Arial Narrow" w:hAnsi="Arial Narrow"/>
          <w:color w:val="auto"/>
          <w:sz w:val="22"/>
          <w:szCs w:val="22"/>
        </w:rPr>
        <w:t xml:space="preserve">O Valor monetário por Ponto Base mostra como o valor atual do </w:t>
      </w:r>
      <w:r w:rsidR="00157BBA" w:rsidRPr="00A51745">
        <w:rPr>
          <w:rFonts w:ascii="Arial Narrow" w:hAnsi="Arial Narrow"/>
          <w:color w:val="auto"/>
          <w:sz w:val="22"/>
          <w:szCs w:val="22"/>
        </w:rPr>
        <w:t>ativo</w:t>
      </w:r>
      <w:r w:rsidRPr="00A51745">
        <w:rPr>
          <w:rFonts w:ascii="Arial Narrow" w:hAnsi="Arial Narrow"/>
          <w:color w:val="auto"/>
          <w:sz w:val="22"/>
          <w:szCs w:val="22"/>
        </w:rPr>
        <w:t xml:space="preserve">/portfólio muda para um deslocamento paralelo de um ponto base na curva de juros. </w:t>
      </w:r>
    </w:p>
    <w:p w14:paraId="130DBF19" w14:textId="77777777" w:rsidR="00AC2022" w:rsidRPr="00A51745" w:rsidRDefault="00AC2022" w:rsidP="000B1E46">
      <w:pPr>
        <w:pStyle w:val="Default"/>
        <w:tabs>
          <w:tab w:val="left" w:pos="1134"/>
        </w:tabs>
        <w:ind w:left="851"/>
        <w:jc w:val="both"/>
        <w:rPr>
          <w:rFonts w:ascii="Arial Narrow" w:hAnsi="Arial Narrow"/>
          <w:color w:val="auto"/>
          <w:sz w:val="16"/>
          <w:szCs w:val="16"/>
        </w:rPr>
      </w:pPr>
    </w:p>
    <w:p w14:paraId="1168EA3E" w14:textId="469D1EC4" w:rsidR="000B21F9" w:rsidRPr="00A51745" w:rsidRDefault="004F4175" w:rsidP="00356520">
      <w:pPr>
        <w:pStyle w:val="Default"/>
        <w:numPr>
          <w:ilvl w:val="0"/>
          <w:numId w:val="36"/>
        </w:numPr>
        <w:tabs>
          <w:tab w:val="left" w:pos="1134"/>
        </w:tabs>
        <w:ind w:left="851" w:firstLine="0"/>
        <w:jc w:val="both"/>
        <w:rPr>
          <w:rFonts w:ascii="Arial Narrow" w:hAnsi="Arial Narrow"/>
          <w:color w:val="auto"/>
          <w:sz w:val="22"/>
          <w:szCs w:val="22"/>
        </w:rPr>
      </w:pPr>
      <w:r w:rsidRPr="00A51745">
        <w:rPr>
          <w:rFonts w:ascii="Arial Narrow" w:hAnsi="Arial Narrow"/>
          <w:color w:val="auto"/>
          <w:sz w:val="22"/>
          <w:szCs w:val="22"/>
        </w:rPr>
        <w:t xml:space="preserve">A </w:t>
      </w:r>
      <w:proofErr w:type="spellStart"/>
      <w:r w:rsidR="000B21F9" w:rsidRPr="00A51745">
        <w:rPr>
          <w:rFonts w:ascii="Arial Narrow" w:hAnsi="Arial Narrow"/>
          <w:i/>
          <w:iCs/>
          <w:color w:val="auto"/>
          <w:sz w:val="22"/>
          <w:szCs w:val="22"/>
        </w:rPr>
        <w:t>Dura</w:t>
      </w:r>
      <w:r w:rsidR="00157BBA" w:rsidRPr="00A51745">
        <w:rPr>
          <w:rFonts w:ascii="Arial Narrow" w:hAnsi="Arial Narrow"/>
          <w:i/>
          <w:iCs/>
          <w:color w:val="auto"/>
          <w:sz w:val="22"/>
          <w:szCs w:val="22"/>
        </w:rPr>
        <w:t>tio</w:t>
      </w:r>
      <w:r w:rsidR="00157BBA" w:rsidRPr="00A51745">
        <w:rPr>
          <w:rFonts w:ascii="Arial Narrow" w:hAnsi="Arial Narrow"/>
          <w:color w:val="auto"/>
          <w:sz w:val="22"/>
          <w:szCs w:val="22"/>
        </w:rPr>
        <w:t>n</w:t>
      </w:r>
      <w:proofErr w:type="spellEnd"/>
      <w:r w:rsidR="00157BBA" w:rsidRPr="00A51745">
        <w:rPr>
          <w:rFonts w:ascii="Arial Narrow" w:hAnsi="Arial Narrow"/>
          <w:color w:val="auto"/>
          <w:sz w:val="22"/>
          <w:szCs w:val="22"/>
        </w:rPr>
        <w:t xml:space="preserve"> </w:t>
      </w:r>
      <w:r w:rsidR="000B21F9" w:rsidRPr="00A51745">
        <w:rPr>
          <w:rFonts w:ascii="Arial Narrow" w:hAnsi="Arial Narrow"/>
          <w:color w:val="auto"/>
          <w:sz w:val="22"/>
          <w:szCs w:val="22"/>
        </w:rPr>
        <w:t xml:space="preserve"> do </w:t>
      </w:r>
      <w:r w:rsidR="000B21F9" w:rsidRPr="00A51745">
        <w:rPr>
          <w:rFonts w:ascii="Arial Narrow" w:hAnsi="Arial Narrow"/>
          <w:i/>
          <w:iCs/>
          <w:color w:val="auto"/>
          <w:sz w:val="22"/>
          <w:szCs w:val="22"/>
        </w:rPr>
        <w:t>Spread</w:t>
      </w:r>
      <w:r w:rsidR="000B21F9" w:rsidRPr="00A51745">
        <w:rPr>
          <w:rFonts w:ascii="Arial Narrow" w:hAnsi="Arial Narrow"/>
          <w:color w:val="auto"/>
          <w:sz w:val="22"/>
          <w:szCs w:val="22"/>
        </w:rPr>
        <w:t xml:space="preserve"> mensura a sensibilidade do valor presente do portfólio a uma variação relativa do </w:t>
      </w:r>
      <w:r w:rsidR="000B21F9" w:rsidRPr="00A51745">
        <w:rPr>
          <w:rFonts w:ascii="Arial Narrow" w:hAnsi="Arial Narrow"/>
          <w:i/>
          <w:iCs/>
          <w:color w:val="auto"/>
          <w:sz w:val="22"/>
          <w:szCs w:val="22"/>
        </w:rPr>
        <w:t>spread</w:t>
      </w:r>
      <w:r w:rsidR="000B21F9" w:rsidRPr="00A51745">
        <w:rPr>
          <w:rFonts w:ascii="Arial Narrow" w:hAnsi="Arial Narrow"/>
          <w:color w:val="auto"/>
          <w:sz w:val="22"/>
          <w:szCs w:val="22"/>
        </w:rPr>
        <w:t xml:space="preserve">. </w:t>
      </w:r>
    </w:p>
    <w:p w14:paraId="00EEFCEE" w14:textId="77777777" w:rsidR="000B21F9" w:rsidRPr="00A51745" w:rsidRDefault="000B21F9" w:rsidP="00CC626A">
      <w:pPr>
        <w:pStyle w:val="Default"/>
        <w:tabs>
          <w:tab w:val="left" w:pos="284"/>
        </w:tabs>
        <w:jc w:val="both"/>
        <w:rPr>
          <w:rFonts w:ascii="Arial Narrow" w:hAnsi="Arial Narrow"/>
          <w:color w:val="auto"/>
          <w:sz w:val="22"/>
          <w:szCs w:val="22"/>
        </w:rPr>
      </w:pPr>
    </w:p>
    <w:p w14:paraId="6B69F6F9" w14:textId="7FDB4291" w:rsidR="000B21F9" w:rsidRPr="00A51745" w:rsidRDefault="000B21F9" w:rsidP="00CC626A">
      <w:pPr>
        <w:pStyle w:val="Default"/>
        <w:tabs>
          <w:tab w:val="left" w:pos="284"/>
        </w:tabs>
        <w:jc w:val="both"/>
        <w:rPr>
          <w:rFonts w:ascii="Arial Narrow" w:hAnsi="Arial Narrow"/>
          <w:color w:val="auto"/>
          <w:sz w:val="22"/>
          <w:szCs w:val="22"/>
        </w:rPr>
      </w:pPr>
      <w:r w:rsidRPr="00A51745">
        <w:rPr>
          <w:rFonts w:ascii="Arial Narrow" w:hAnsi="Arial Narrow"/>
          <w:color w:val="auto"/>
          <w:sz w:val="22"/>
          <w:szCs w:val="22"/>
        </w:rPr>
        <w:t xml:space="preserve">Tais métricas de risco permitem comparações entre </w:t>
      </w:r>
      <w:r w:rsidR="0031757D" w:rsidRPr="00A51745">
        <w:rPr>
          <w:rFonts w:ascii="Arial Narrow" w:hAnsi="Arial Narrow"/>
          <w:color w:val="auto"/>
          <w:sz w:val="22"/>
          <w:szCs w:val="22"/>
        </w:rPr>
        <w:t>Fundos</w:t>
      </w:r>
      <w:r w:rsidRPr="00A51745">
        <w:rPr>
          <w:rFonts w:ascii="Arial Narrow" w:hAnsi="Arial Narrow"/>
          <w:color w:val="auto"/>
          <w:sz w:val="22"/>
          <w:szCs w:val="22"/>
        </w:rPr>
        <w:t xml:space="preserve"> e suas respectivas referências para verificar onde está o portfólio sob uma perspectiva de risco. </w:t>
      </w:r>
    </w:p>
    <w:p w14:paraId="5B34975B" w14:textId="77777777" w:rsidR="008816F8" w:rsidRPr="00A51745" w:rsidRDefault="008816F8" w:rsidP="00CC626A">
      <w:pPr>
        <w:pStyle w:val="Default"/>
        <w:tabs>
          <w:tab w:val="left" w:pos="284"/>
        </w:tabs>
        <w:jc w:val="both"/>
        <w:rPr>
          <w:rFonts w:ascii="Arial Narrow" w:hAnsi="Arial Narrow" w:cstheme="minorBidi"/>
          <w:color w:val="auto"/>
          <w:sz w:val="22"/>
          <w:szCs w:val="22"/>
        </w:rPr>
      </w:pPr>
    </w:p>
    <w:p w14:paraId="0B9F6ED4" w14:textId="2BB1D9B1" w:rsidR="000B21F9" w:rsidRPr="00A51745" w:rsidRDefault="000B21F9" w:rsidP="00356520">
      <w:pPr>
        <w:pStyle w:val="ListParagraph"/>
        <w:numPr>
          <w:ilvl w:val="0"/>
          <w:numId w:val="32"/>
        </w:numPr>
        <w:spacing w:after="120"/>
        <w:jc w:val="both"/>
        <w:rPr>
          <w:rFonts w:ascii="Arial Narrow" w:hAnsi="Arial Narrow"/>
          <w:b/>
          <w:bCs/>
        </w:rPr>
      </w:pPr>
      <w:r w:rsidRPr="00A51745">
        <w:rPr>
          <w:rFonts w:ascii="Arial Narrow" w:hAnsi="Arial Narrow"/>
          <w:b/>
          <w:bCs/>
        </w:rPr>
        <w:t xml:space="preserve">Testes de Stress e Análise de Cenários: </w:t>
      </w:r>
      <w:r w:rsidR="004F4175" w:rsidRPr="00A51745">
        <w:rPr>
          <w:rFonts w:ascii="Arial Narrow" w:hAnsi="Arial Narrow"/>
        </w:rPr>
        <w:t xml:space="preserve">Simulam </w:t>
      </w:r>
      <w:r w:rsidRPr="00A51745">
        <w:rPr>
          <w:rFonts w:ascii="Arial Narrow" w:hAnsi="Arial Narrow"/>
        </w:rPr>
        <w:t>o quanto o portfólio atual pode ganhar ou perder caso certas condições de mercado ocorram.</w:t>
      </w:r>
      <w:r w:rsidRPr="00A51745">
        <w:rPr>
          <w:rFonts w:ascii="Arial Narrow" w:hAnsi="Arial Narrow"/>
          <w:b/>
          <w:bCs/>
        </w:rPr>
        <w:t xml:space="preserve"> </w:t>
      </w:r>
    </w:p>
    <w:p w14:paraId="7C99F100" w14:textId="1F1CBC61" w:rsidR="000B21F9" w:rsidRPr="00A51745" w:rsidRDefault="000B21F9" w:rsidP="00356520">
      <w:pPr>
        <w:pStyle w:val="ListParagraph"/>
        <w:numPr>
          <w:ilvl w:val="0"/>
          <w:numId w:val="32"/>
        </w:numPr>
        <w:spacing w:after="120"/>
        <w:jc w:val="both"/>
        <w:rPr>
          <w:rFonts w:ascii="Arial Narrow" w:hAnsi="Arial Narrow"/>
        </w:rPr>
      </w:pPr>
      <w:r w:rsidRPr="00A51745">
        <w:rPr>
          <w:rFonts w:ascii="Arial Narrow" w:hAnsi="Arial Narrow"/>
          <w:b/>
          <w:bCs/>
        </w:rPr>
        <w:t xml:space="preserve">Risco de Concentração: </w:t>
      </w:r>
      <w:r w:rsidRPr="00A51745">
        <w:rPr>
          <w:rFonts w:ascii="Arial Narrow" w:hAnsi="Arial Narrow"/>
        </w:rPr>
        <w:t>Ao agrupar o portfólio em várias exposições diferentes (</w:t>
      </w:r>
      <w:proofErr w:type="spellStart"/>
      <w:r w:rsidRPr="00A51745">
        <w:rPr>
          <w:rFonts w:ascii="Arial Narrow" w:hAnsi="Arial Narrow"/>
        </w:rPr>
        <w:t>ex</w:t>
      </w:r>
      <w:proofErr w:type="spellEnd"/>
      <w:r w:rsidR="0031757D" w:rsidRPr="00A51745">
        <w:rPr>
          <w:rFonts w:ascii="Arial Narrow" w:hAnsi="Arial Narrow"/>
        </w:rPr>
        <w:t>:</w:t>
      </w:r>
      <w:r w:rsidRPr="00A51745">
        <w:rPr>
          <w:rFonts w:ascii="Arial Narrow" w:hAnsi="Arial Narrow"/>
        </w:rPr>
        <w:t xml:space="preserve"> país, setor, emissor, ativo, etc.), podemos verificar</w:t>
      </w:r>
      <w:r w:rsidR="0031757D" w:rsidRPr="00A51745">
        <w:rPr>
          <w:rFonts w:ascii="Arial Narrow" w:hAnsi="Arial Narrow"/>
        </w:rPr>
        <w:t xml:space="preserve"> se </w:t>
      </w:r>
      <w:r w:rsidRPr="00A51745">
        <w:rPr>
          <w:rFonts w:ascii="Arial Narrow" w:hAnsi="Arial Narrow"/>
        </w:rPr>
        <w:t>existe</w:t>
      </w:r>
      <w:r w:rsidR="0031757D" w:rsidRPr="00A51745">
        <w:rPr>
          <w:rFonts w:ascii="Arial Narrow" w:hAnsi="Arial Narrow"/>
        </w:rPr>
        <w:t xml:space="preserve"> algum</w:t>
      </w:r>
      <w:r w:rsidRPr="00A51745">
        <w:rPr>
          <w:rFonts w:ascii="Arial Narrow" w:hAnsi="Arial Narrow"/>
        </w:rPr>
        <w:t xml:space="preserve"> risco de concentração</w:t>
      </w:r>
      <w:r w:rsidR="0031757D" w:rsidRPr="00A51745">
        <w:rPr>
          <w:rFonts w:ascii="Arial Narrow" w:hAnsi="Arial Narrow"/>
        </w:rPr>
        <w:t>.</w:t>
      </w:r>
    </w:p>
    <w:p w14:paraId="38BF8137" w14:textId="77777777" w:rsidR="006812BA" w:rsidRPr="00A51745" w:rsidRDefault="006812BA" w:rsidP="00CC626A">
      <w:pPr>
        <w:tabs>
          <w:tab w:val="left" w:pos="284"/>
        </w:tabs>
        <w:jc w:val="both"/>
        <w:rPr>
          <w:rFonts w:ascii="Arial Narrow" w:hAnsi="Arial Narrow"/>
          <w:bCs/>
          <w:i/>
          <w:iCs/>
        </w:rPr>
      </w:pPr>
    </w:p>
    <w:p w14:paraId="43E825A1" w14:textId="77777777" w:rsidR="00DE58AE" w:rsidRPr="00A51745" w:rsidRDefault="000B21F9" w:rsidP="00CC626A">
      <w:pPr>
        <w:tabs>
          <w:tab w:val="left" w:pos="284"/>
        </w:tabs>
        <w:jc w:val="both"/>
        <w:rPr>
          <w:rFonts w:ascii="Arial Narrow" w:hAnsi="Arial Narrow"/>
          <w:bCs/>
        </w:rPr>
      </w:pPr>
      <w:r w:rsidRPr="00A51745">
        <w:rPr>
          <w:rFonts w:ascii="Arial Narrow" w:hAnsi="Arial Narrow"/>
          <w:bCs/>
        </w:rPr>
        <w:t xml:space="preserve">Os métodos e </w:t>
      </w:r>
      <w:r w:rsidR="004F4175" w:rsidRPr="00A51745">
        <w:rPr>
          <w:rFonts w:ascii="Arial Narrow" w:hAnsi="Arial Narrow"/>
          <w:bCs/>
        </w:rPr>
        <w:t xml:space="preserve">respectivos </w:t>
      </w:r>
      <w:r w:rsidRPr="00A51745">
        <w:rPr>
          <w:rFonts w:ascii="Arial Narrow" w:hAnsi="Arial Narrow"/>
          <w:bCs/>
        </w:rPr>
        <w:t xml:space="preserve">processos </w:t>
      </w:r>
      <w:r w:rsidR="004F4175" w:rsidRPr="00A51745">
        <w:rPr>
          <w:rFonts w:ascii="Arial Narrow" w:hAnsi="Arial Narrow"/>
          <w:bCs/>
        </w:rPr>
        <w:t xml:space="preserve">mencionados acima </w:t>
      </w:r>
      <w:r w:rsidRPr="00A51745">
        <w:rPr>
          <w:rFonts w:ascii="Arial Narrow" w:hAnsi="Arial Narrow"/>
          <w:bCs/>
        </w:rPr>
        <w:t xml:space="preserve">podem não ser relevantes para todos os portfólios. </w:t>
      </w:r>
    </w:p>
    <w:p w14:paraId="25CCEA55" w14:textId="1682C96D" w:rsidR="000B21F9" w:rsidRPr="00A51745" w:rsidRDefault="000B21F9" w:rsidP="00CC626A">
      <w:pPr>
        <w:tabs>
          <w:tab w:val="left" w:pos="284"/>
        </w:tabs>
        <w:jc w:val="both"/>
        <w:rPr>
          <w:rFonts w:ascii="Arial Narrow" w:hAnsi="Arial Narrow"/>
          <w:bCs/>
        </w:rPr>
      </w:pPr>
      <w:r w:rsidRPr="00A51745">
        <w:rPr>
          <w:rFonts w:ascii="Arial Narrow" w:hAnsi="Arial Narrow"/>
          <w:bCs/>
        </w:rPr>
        <w:t xml:space="preserve">Como parte da avaliação e definição dos riscos relacionados, </w:t>
      </w:r>
      <w:r w:rsidR="00414D2D" w:rsidRPr="00A51745">
        <w:rPr>
          <w:rFonts w:ascii="Arial Narrow" w:hAnsi="Arial Narrow"/>
          <w:bCs/>
        </w:rPr>
        <w:t>a equipe de I</w:t>
      </w:r>
      <w:r w:rsidR="00D35D5D" w:rsidRPr="00A51745">
        <w:rPr>
          <w:rFonts w:ascii="Arial Narrow" w:hAnsi="Arial Narrow"/>
          <w:bCs/>
        </w:rPr>
        <w:t xml:space="preserve">nvestment Risk </w:t>
      </w:r>
      <w:r w:rsidRPr="00A51745">
        <w:rPr>
          <w:rFonts w:ascii="Arial Narrow" w:hAnsi="Arial Narrow"/>
          <w:bCs/>
        </w:rPr>
        <w:t xml:space="preserve"> garante que os itens aplicáveis </w:t>
      </w:r>
      <w:r w:rsidR="00D35D5D" w:rsidRPr="00A51745">
        <w:rPr>
          <w:rFonts w:ascii="Arial Narrow" w:hAnsi="Arial Narrow"/>
          <w:bCs/>
        </w:rPr>
        <w:t>observados</w:t>
      </w:r>
      <w:r w:rsidR="00D24262" w:rsidRPr="00A51745">
        <w:rPr>
          <w:rFonts w:ascii="Arial Narrow" w:hAnsi="Arial Narrow"/>
          <w:bCs/>
        </w:rPr>
        <w:t xml:space="preserve"> </w:t>
      </w:r>
      <w:r w:rsidRPr="00A51745">
        <w:rPr>
          <w:rFonts w:ascii="Arial Narrow" w:hAnsi="Arial Narrow"/>
          <w:bCs/>
        </w:rPr>
        <w:t>serão tratados em conexão com o perfil de risco e os controles adotados para o portfólio.</w:t>
      </w:r>
    </w:p>
    <w:p w14:paraId="41468011" w14:textId="77777777" w:rsidR="00AC2022" w:rsidRPr="00A51745" w:rsidRDefault="00AC2022" w:rsidP="00CC626A">
      <w:pPr>
        <w:tabs>
          <w:tab w:val="left" w:pos="284"/>
        </w:tabs>
        <w:jc w:val="both"/>
        <w:rPr>
          <w:rFonts w:ascii="Arial Narrow" w:hAnsi="Arial Narrow"/>
          <w:b/>
        </w:rPr>
      </w:pPr>
    </w:p>
    <w:tbl>
      <w:tblPr>
        <w:tblW w:w="8670" w:type="dxa"/>
        <w:jc w:val="center"/>
        <w:tblLayout w:type="fixed"/>
        <w:tblLook w:val="04A0" w:firstRow="1" w:lastRow="0" w:firstColumn="1" w:lastColumn="0" w:noHBand="0" w:noVBand="1"/>
      </w:tblPr>
      <w:tblGrid>
        <w:gridCol w:w="4704"/>
        <w:gridCol w:w="871"/>
        <w:gridCol w:w="879"/>
        <w:gridCol w:w="880"/>
        <w:gridCol w:w="1336"/>
      </w:tblGrid>
      <w:tr w:rsidR="0031757D" w:rsidRPr="00D862F8" w14:paraId="0BA5437A" w14:textId="77777777" w:rsidTr="0031757D">
        <w:trPr>
          <w:trHeight w:val="510"/>
          <w:jc w:val="center"/>
        </w:trPr>
        <w:tc>
          <w:tcPr>
            <w:tcW w:w="470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0FA6F96" w14:textId="77777777" w:rsidR="0031757D" w:rsidRPr="00A51745" w:rsidRDefault="0031757D">
            <w:pPr>
              <w:spacing w:line="276" w:lineRule="auto"/>
              <w:rPr>
                <w:rFonts w:ascii="Arial Narrow" w:hAnsi="Arial Narrow" w:cs="Arial"/>
                <w:b/>
                <w:bCs/>
                <w:sz w:val="18"/>
                <w:szCs w:val="18"/>
                <w:lang w:val="en-GB" w:eastAsia="en-GB"/>
              </w:rPr>
            </w:pPr>
            <w:r w:rsidRPr="00A51745">
              <w:rPr>
                <w:rFonts w:ascii="Arial Narrow" w:hAnsi="Arial Narrow" w:cs="Arial"/>
                <w:b/>
                <w:bCs/>
                <w:sz w:val="18"/>
                <w:szCs w:val="18"/>
                <w:lang w:val="en-GB"/>
              </w:rPr>
              <w:t>Risk Measures by Asset Class</w:t>
            </w:r>
          </w:p>
        </w:tc>
        <w:tc>
          <w:tcPr>
            <w:tcW w:w="872" w:type="dxa"/>
            <w:tcBorders>
              <w:top w:val="single" w:sz="4" w:space="0" w:color="auto"/>
              <w:left w:val="nil"/>
              <w:bottom w:val="single" w:sz="4" w:space="0" w:color="auto"/>
              <w:right w:val="single" w:sz="4" w:space="0" w:color="auto"/>
            </w:tcBorders>
            <w:shd w:val="clear" w:color="auto" w:fill="000000" w:themeFill="text1"/>
            <w:vAlign w:val="center"/>
            <w:hideMark/>
          </w:tcPr>
          <w:p w14:paraId="6297B6D7" w14:textId="77777777" w:rsidR="0031757D" w:rsidRPr="00A51745" w:rsidRDefault="0031757D">
            <w:pPr>
              <w:spacing w:line="276" w:lineRule="auto"/>
              <w:rPr>
                <w:rFonts w:ascii="Arial Narrow" w:hAnsi="Arial Narrow" w:cs="Arial"/>
                <w:b/>
                <w:bCs/>
                <w:sz w:val="18"/>
                <w:szCs w:val="18"/>
              </w:rPr>
            </w:pPr>
            <w:r w:rsidRPr="00A51745">
              <w:rPr>
                <w:rFonts w:ascii="Arial Narrow" w:hAnsi="Arial Narrow" w:cs="Arial"/>
                <w:b/>
                <w:bCs/>
                <w:sz w:val="18"/>
                <w:szCs w:val="18"/>
              </w:rPr>
              <w:t>Equity</w:t>
            </w:r>
          </w:p>
        </w:tc>
        <w:tc>
          <w:tcPr>
            <w:tcW w:w="880" w:type="dxa"/>
            <w:tcBorders>
              <w:top w:val="single" w:sz="4" w:space="0" w:color="auto"/>
              <w:left w:val="nil"/>
              <w:bottom w:val="single" w:sz="4" w:space="0" w:color="auto"/>
              <w:right w:val="single" w:sz="4" w:space="0" w:color="auto"/>
            </w:tcBorders>
            <w:shd w:val="clear" w:color="auto" w:fill="000000" w:themeFill="text1"/>
            <w:vAlign w:val="center"/>
            <w:hideMark/>
          </w:tcPr>
          <w:p w14:paraId="714E3EC7" w14:textId="77777777" w:rsidR="0031757D" w:rsidRPr="00A51745" w:rsidRDefault="0031757D">
            <w:pPr>
              <w:spacing w:line="276" w:lineRule="auto"/>
              <w:rPr>
                <w:rFonts w:ascii="Arial Narrow" w:hAnsi="Arial Narrow" w:cs="Arial"/>
                <w:b/>
                <w:bCs/>
                <w:sz w:val="18"/>
                <w:szCs w:val="18"/>
              </w:rPr>
            </w:pPr>
            <w:proofErr w:type="spellStart"/>
            <w:r w:rsidRPr="00A51745">
              <w:rPr>
                <w:rFonts w:ascii="Arial Narrow" w:hAnsi="Arial Narrow" w:cs="Arial"/>
                <w:b/>
                <w:bCs/>
                <w:sz w:val="18"/>
                <w:szCs w:val="18"/>
              </w:rPr>
              <w:t>Fixed</w:t>
            </w:r>
            <w:proofErr w:type="spellEnd"/>
            <w:r w:rsidRPr="00A51745">
              <w:rPr>
                <w:rFonts w:ascii="Arial Narrow" w:hAnsi="Arial Narrow" w:cs="Arial"/>
                <w:b/>
                <w:bCs/>
                <w:sz w:val="18"/>
                <w:szCs w:val="18"/>
              </w:rPr>
              <w:t xml:space="preserve"> Income</w:t>
            </w:r>
          </w:p>
        </w:tc>
        <w:tc>
          <w:tcPr>
            <w:tcW w:w="881" w:type="dxa"/>
            <w:tcBorders>
              <w:top w:val="single" w:sz="4" w:space="0" w:color="auto"/>
              <w:left w:val="nil"/>
              <w:bottom w:val="single" w:sz="4" w:space="0" w:color="auto"/>
              <w:right w:val="single" w:sz="4" w:space="0" w:color="auto"/>
            </w:tcBorders>
            <w:shd w:val="clear" w:color="auto" w:fill="000000" w:themeFill="text1"/>
            <w:vAlign w:val="center"/>
            <w:hideMark/>
          </w:tcPr>
          <w:p w14:paraId="61CB4EFA" w14:textId="77777777" w:rsidR="0031757D" w:rsidRPr="00A51745" w:rsidRDefault="0031757D">
            <w:pPr>
              <w:spacing w:line="276" w:lineRule="auto"/>
              <w:rPr>
                <w:rFonts w:ascii="Arial Narrow" w:hAnsi="Arial Narrow" w:cs="Arial"/>
                <w:b/>
                <w:bCs/>
                <w:sz w:val="18"/>
                <w:szCs w:val="18"/>
              </w:rPr>
            </w:pPr>
            <w:proofErr w:type="spellStart"/>
            <w:r w:rsidRPr="00A51745">
              <w:rPr>
                <w:rFonts w:ascii="Arial Narrow" w:hAnsi="Arial Narrow" w:cs="Arial"/>
                <w:b/>
                <w:bCs/>
                <w:sz w:val="18"/>
                <w:szCs w:val="18"/>
              </w:rPr>
              <w:t>Multi</w:t>
            </w:r>
            <w:proofErr w:type="spellEnd"/>
            <w:r w:rsidRPr="00A51745">
              <w:rPr>
                <w:rFonts w:ascii="Arial Narrow" w:hAnsi="Arial Narrow" w:cs="Arial"/>
                <w:b/>
                <w:bCs/>
                <w:sz w:val="18"/>
                <w:szCs w:val="18"/>
              </w:rPr>
              <w:t xml:space="preserve"> </w:t>
            </w:r>
            <w:proofErr w:type="spellStart"/>
            <w:r w:rsidRPr="00A51745">
              <w:rPr>
                <w:rFonts w:ascii="Arial Narrow" w:hAnsi="Arial Narrow" w:cs="Arial"/>
                <w:b/>
                <w:bCs/>
                <w:sz w:val="18"/>
                <w:szCs w:val="18"/>
              </w:rPr>
              <w:t>Asset</w:t>
            </w:r>
            <w:proofErr w:type="spellEnd"/>
          </w:p>
        </w:tc>
        <w:tc>
          <w:tcPr>
            <w:tcW w:w="1337" w:type="dxa"/>
            <w:tcBorders>
              <w:top w:val="single" w:sz="4" w:space="0" w:color="auto"/>
              <w:left w:val="nil"/>
              <w:bottom w:val="single" w:sz="4" w:space="0" w:color="auto"/>
              <w:right w:val="single" w:sz="4" w:space="0" w:color="auto"/>
            </w:tcBorders>
            <w:shd w:val="clear" w:color="auto" w:fill="000000" w:themeFill="text1"/>
            <w:vAlign w:val="center"/>
            <w:hideMark/>
          </w:tcPr>
          <w:p w14:paraId="4FA1C23B" w14:textId="77777777" w:rsidR="0031757D" w:rsidRPr="00A51745" w:rsidRDefault="0031757D">
            <w:pPr>
              <w:spacing w:line="276" w:lineRule="auto"/>
              <w:rPr>
                <w:rFonts w:ascii="Arial Narrow" w:hAnsi="Arial Narrow" w:cs="Arial"/>
                <w:b/>
                <w:bCs/>
                <w:sz w:val="18"/>
                <w:szCs w:val="18"/>
                <w:lang w:val="en-GB"/>
              </w:rPr>
            </w:pPr>
            <w:r w:rsidRPr="00A51745">
              <w:rPr>
                <w:rFonts w:ascii="Arial Narrow" w:hAnsi="Arial Narrow" w:cs="Arial"/>
                <w:b/>
                <w:bCs/>
                <w:sz w:val="18"/>
                <w:szCs w:val="18"/>
                <w:lang w:val="en-GB"/>
              </w:rPr>
              <w:t>Fund of Long Only Funds</w:t>
            </w:r>
          </w:p>
        </w:tc>
      </w:tr>
      <w:tr w:rsidR="0031757D" w:rsidRPr="00A51745" w14:paraId="10A993F9"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5E1A6454" w14:textId="77777777" w:rsidR="0031757D" w:rsidRPr="00A51745" w:rsidRDefault="0031757D">
            <w:pPr>
              <w:spacing w:line="276" w:lineRule="auto"/>
              <w:rPr>
                <w:rFonts w:ascii="Arial Narrow" w:hAnsi="Arial Narrow" w:cs="Arial"/>
                <w:sz w:val="18"/>
                <w:szCs w:val="18"/>
              </w:rPr>
            </w:pPr>
            <w:proofErr w:type="spellStart"/>
            <w:r w:rsidRPr="00A51745">
              <w:rPr>
                <w:rFonts w:ascii="Arial Narrow" w:hAnsi="Arial Narrow" w:cs="Arial"/>
                <w:sz w:val="18"/>
                <w:szCs w:val="18"/>
              </w:rPr>
              <w:t>Leverage</w:t>
            </w:r>
            <w:proofErr w:type="spellEnd"/>
            <w:r w:rsidRPr="00A51745">
              <w:rPr>
                <w:rFonts w:ascii="Arial Narrow" w:hAnsi="Arial Narrow" w:cs="Arial"/>
                <w:sz w:val="18"/>
                <w:szCs w:val="18"/>
              </w:rPr>
              <w:t xml:space="preserve"> – </w:t>
            </w:r>
            <w:proofErr w:type="spellStart"/>
            <w:r w:rsidRPr="00A51745">
              <w:rPr>
                <w:rFonts w:ascii="Arial Narrow" w:hAnsi="Arial Narrow" w:cs="Arial"/>
                <w:sz w:val="18"/>
                <w:szCs w:val="18"/>
              </w:rPr>
              <w:t>Commitment</w:t>
            </w:r>
            <w:proofErr w:type="spellEnd"/>
            <w:r w:rsidRPr="00A51745">
              <w:rPr>
                <w:rFonts w:ascii="Arial Narrow" w:hAnsi="Arial Narrow" w:cs="Arial"/>
                <w:sz w:val="18"/>
                <w:szCs w:val="18"/>
              </w:rPr>
              <w:t xml:space="preserve"> approach</w:t>
            </w:r>
          </w:p>
        </w:tc>
        <w:tc>
          <w:tcPr>
            <w:tcW w:w="872" w:type="dxa"/>
            <w:tcBorders>
              <w:top w:val="nil"/>
              <w:left w:val="nil"/>
              <w:bottom w:val="single" w:sz="4" w:space="0" w:color="auto"/>
              <w:right w:val="single" w:sz="4" w:space="0" w:color="auto"/>
            </w:tcBorders>
            <w:vAlign w:val="center"/>
            <w:hideMark/>
          </w:tcPr>
          <w:p w14:paraId="3587CF85"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3630F576"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0F458909"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79A6D796"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r w:rsidR="0031757D" w:rsidRPr="00A51745" w14:paraId="24A00314"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549E824F" w14:textId="77777777" w:rsidR="0031757D" w:rsidRPr="00A51745" w:rsidRDefault="0031757D">
            <w:pPr>
              <w:spacing w:line="276" w:lineRule="auto"/>
              <w:rPr>
                <w:rFonts w:ascii="Arial Narrow" w:hAnsi="Arial Narrow" w:cs="Arial"/>
                <w:sz w:val="18"/>
                <w:szCs w:val="18"/>
              </w:rPr>
            </w:pPr>
            <w:proofErr w:type="spellStart"/>
            <w:r w:rsidRPr="00A51745">
              <w:rPr>
                <w:rFonts w:ascii="Arial Narrow" w:hAnsi="Arial Narrow" w:cs="Arial"/>
                <w:sz w:val="18"/>
                <w:szCs w:val="18"/>
              </w:rPr>
              <w:t>Volatility</w:t>
            </w:r>
            <w:proofErr w:type="spellEnd"/>
            <w:r w:rsidRPr="00A51745">
              <w:rPr>
                <w:rFonts w:ascii="Arial Narrow" w:hAnsi="Arial Narrow" w:cs="Arial"/>
                <w:sz w:val="18"/>
                <w:szCs w:val="18"/>
              </w:rPr>
              <w:t xml:space="preserve">, </w:t>
            </w:r>
            <w:proofErr w:type="spellStart"/>
            <w:r w:rsidRPr="00A51745">
              <w:rPr>
                <w:rFonts w:ascii="Arial Narrow" w:hAnsi="Arial Narrow" w:cs="Arial"/>
                <w:sz w:val="18"/>
                <w:szCs w:val="18"/>
              </w:rPr>
              <w:t>VaR</w:t>
            </w:r>
            <w:proofErr w:type="spellEnd"/>
            <w:r w:rsidRPr="00A51745">
              <w:rPr>
                <w:rFonts w:ascii="Arial Narrow" w:hAnsi="Arial Narrow" w:cs="Arial"/>
                <w:sz w:val="18"/>
                <w:szCs w:val="18"/>
              </w:rPr>
              <w:t xml:space="preserve">, </w:t>
            </w:r>
            <w:proofErr w:type="spellStart"/>
            <w:r w:rsidRPr="00A51745">
              <w:rPr>
                <w:rFonts w:ascii="Arial Narrow" w:hAnsi="Arial Narrow" w:cs="Arial"/>
                <w:sz w:val="18"/>
                <w:szCs w:val="18"/>
              </w:rPr>
              <w:t>VaR</w:t>
            </w:r>
            <w:proofErr w:type="spellEnd"/>
            <w:r w:rsidRPr="00A51745">
              <w:rPr>
                <w:rFonts w:ascii="Arial Narrow" w:hAnsi="Arial Narrow" w:cs="Arial"/>
                <w:sz w:val="18"/>
                <w:szCs w:val="18"/>
              </w:rPr>
              <w:t xml:space="preserve"> </w:t>
            </w:r>
            <w:proofErr w:type="spellStart"/>
            <w:r w:rsidRPr="00A51745">
              <w:rPr>
                <w:rFonts w:ascii="Arial Narrow" w:hAnsi="Arial Narrow" w:cs="Arial"/>
                <w:sz w:val="18"/>
                <w:szCs w:val="18"/>
              </w:rPr>
              <w:t>ratio</w:t>
            </w:r>
            <w:proofErr w:type="spellEnd"/>
          </w:p>
        </w:tc>
        <w:tc>
          <w:tcPr>
            <w:tcW w:w="872" w:type="dxa"/>
            <w:tcBorders>
              <w:top w:val="nil"/>
              <w:left w:val="nil"/>
              <w:bottom w:val="single" w:sz="4" w:space="0" w:color="auto"/>
              <w:right w:val="single" w:sz="4" w:space="0" w:color="auto"/>
            </w:tcBorders>
            <w:vAlign w:val="center"/>
            <w:hideMark/>
          </w:tcPr>
          <w:p w14:paraId="5FF9FC25"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144B036B"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1CCEC989"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44163FF2"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r w:rsidR="0031757D" w:rsidRPr="00A51745" w14:paraId="57D82FE1"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29A2D9C7" w14:textId="77777777" w:rsidR="0031757D" w:rsidRPr="00A51745" w:rsidRDefault="0031757D">
            <w:pPr>
              <w:spacing w:line="276" w:lineRule="auto"/>
              <w:rPr>
                <w:rFonts w:ascii="Arial Narrow" w:hAnsi="Arial Narrow" w:cs="Arial"/>
                <w:sz w:val="18"/>
                <w:szCs w:val="18"/>
              </w:rPr>
            </w:pPr>
            <w:proofErr w:type="spellStart"/>
            <w:r w:rsidRPr="00A51745">
              <w:rPr>
                <w:rFonts w:ascii="Arial Narrow" w:hAnsi="Arial Narrow" w:cs="Arial"/>
                <w:sz w:val="18"/>
                <w:szCs w:val="18"/>
              </w:rPr>
              <w:t>Tracking</w:t>
            </w:r>
            <w:proofErr w:type="spellEnd"/>
            <w:r w:rsidRPr="00A51745">
              <w:rPr>
                <w:rFonts w:ascii="Arial Narrow" w:hAnsi="Arial Narrow" w:cs="Arial"/>
                <w:sz w:val="18"/>
                <w:szCs w:val="18"/>
              </w:rPr>
              <w:t xml:space="preserve"> </w:t>
            </w:r>
            <w:proofErr w:type="spellStart"/>
            <w:r w:rsidRPr="00A51745">
              <w:rPr>
                <w:rFonts w:ascii="Arial Narrow" w:hAnsi="Arial Narrow" w:cs="Arial"/>
                <w:sz w:val="18"/>
                <w:szCs w:val="18"/>
              </w:rPr>
              <w:t>Error</w:t>
            </w:r>
            <w:proofErr w:type="spellEnd"/>
          </w:p>
        </w:tc>
        <w:tc>
          <w:tcPr>
            <w:tcW w:w="872" w:type="dxa"/>
            <w:tcBorders>
              <w:top w:val="nil"/>
              <w:left w:val="nil"/>
              <w:bottom w:val="single" w:sz="4" w:space="0" w:color="auto"/>
              <w:right w:val="single" w:sz="4" w:space="0" w:color="auto"/>
            </w:tcBorders>
            <w:vAlign w:val="center"/>
            <w:hideMark/>
          </w:tcPr>
          <w:p w14:paraId="67897404"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1F34BDA8"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455CA7B4"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0E9A7DC9"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r w:rsidR="0031757D" w:rsidRPr="00A51745" w14:paraId="07B2AFC9"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1BB1BCDB" w14:textId="77777777" w:rsidR="0031757D" w:rsidRPr="00A51745" w:rsidRDefault="0031757D">
            <w:pPr>
              <w:spacing w:line="276" w:lineRule="auto"/>
              <w:rPr>
                <w:rFonts w:ascii="Arial Narrow" w:hAnsi="Arial Narrow" w:cs="Arial"/>
                <w:sz w:val="18"/>
                <w:szCs w:val="18"/>
              </w:rPr>
            </w:pPr>
            <w:r w:rsidRPr="00A51745">
              <w:rPr>
                <w:rFonts w:ascii="Arial Narrow" w:hAnsi="Arial Narrow" w:cs="Arial"/>
                <w:sz w:val="18"/>
                <w:szCs w:val="18"/>
              </w:rPr>
              <w:t xml:space="preserve">Risk </w:t>
            </w:r>
            <w:proofErr w:type="spellStart"/>
            <w:r w:rsidRPr="00A51745">
              <w:rPr>
                <w:rFonts w:ascii="Arial Narrow" w:hAnsi="Arial Narrow" w:cs="Arial"/>
                <w:sz w:val="18"/>
                <w:szCs w:val="18"/>
              </w:rPr>
              <w:t>Decomposition</w:t>
            </w:r>
            <w:proofErr w:type="spellEnd"/>
          </w:p>
        </w:tc>
        <w:tc>
          <w:tcPr>
            <w:tcW w:w="872" w:type="dxa"/>
            <w:tcBorders>
              <w:top w:val="nil"/>
              <w:left w:val="nil"/>
              <w:bottom w:val="single" w:sz="4" w:space="0" w:color="auto"/>
              <w:right w:val="single" w:sz="4" w:space="0" w:color="auto"/>
            </w:tcBorders>
            <w:vAlign w:val="center"/>
            <w:hideMark/>
          </w:tcPr>
          <w:p w14:paraId="0CA6E98A"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7A5A0DA6"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6BCA942F"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55A3CB14"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r w:rsidR="0031757D" w:rsidRPr="00A51745" w14:paraId="02CA53E6"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6D0E6C9C" w14:textId="77777777" w:rsidR="0031757D" w:rsidRPr="00A51745" w:rsidRDefault="0031757D">
            <w:pPr>
              <w:spacing w:line="276" w:lineRule="auto"/>
              <w:rPr>
                <w:rFonts w:ascii="Arial Narrow" w:hAnsi="Arial Narrow" w:cs="Arial"/>
                <w:bCs/>
                <w:sz w:val="18"/>
                <w:szCs w:val="18"/>
                <w:lang w:val="en-GB"/>
              </w:rPr>
            </w:pPr>
            <w:r w:rsidRPr="00A51745">
              <w:rPr>
                <w:rFonts w:ascii="Arial Narrow" w:eastAsia="Calibri" w:hAnsi="Arial Narrow" w:cs="Arial"/>
                <w:bCs/>
                <w:sz w:val="18"/>
                <w:szCs w:val="18"/>
                <w:lang w:val="en-GB"/>
              </w:rPr>
              <w:t>Active positioning of the fund</w:t>
            </w:r>
          </w:p>
        </w:tc>
        <w:tc>
          <w:tcPr>
            <w:tcW w:w="872" w:type="dxa"/>
            <w:tcBorders>
              <w:top w:val="nil"/>
              <w:left w:val="nil"/>
              <w:bottom w:val="single" w:sz="4" w:space="0" w:color="auto"/>
              <w:right w:val="single" w:sz="4" w:space="0" w:color="auto"/>
            </w:tcBorders>
            <w:vAlign w:val="center"/>
            <w:hideMark/>
          </w:tcPr>
          <w:p w14:paraId="5D699E85"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tcPr>
          <w:p w14:paraId="37F34C47" w14:textId="77777777" w:rsidR="0031757D" w:rsidRPr="00A51745" w:rsidRDefault="0031757D">
            <w:pPr>
              <w:spacing w:line="276" w:lineRule="auto"/>
              <w:jc w:val="center"/>
              <w:rPr>
                <w:rFonts w:ascii="Arial Narrow" w:hAnsi="Arial Narrow" w:cs="Arial"/>
                <w:sz w:val="18"/>
                <w:szCs w:val="18"/>
              </w:rPr>
            </w:pPr>
          </w:p>
        </w:tc>
        <w:tc>
          <w:tcPr>
            <w:tcW w:w="881" w:type="dxa"/>
            <w:tcBorders>
              <w:top w:val="nil"/>
              <w:left w:val="nil"/>
              <w:bottom w:val="single" w:sz="4" w:space="0" w:color="auto"/>
              <w:right w:val="single" w:sz="4" w:space="0" w:color="auto"/>
            </w:tcBorders>
            <w:vAlign w:val="center"/>
          </w:tcPr>
          <w:p w14:paraId="0BC21238" w14:textId="77777777" w:rsidR="0031757D" w:rsidRPr="00A51745" w:rsidRDefault="0031757D">
            <w:pPr>
              <w:spacing w:line="276" w:lineRule="auto"/>
              <w:jc w:val="center"/>
              <w:rPr>
                <w:rFonts w:ascii="Arial Narrow" w:hAnsi="Arial Narrow" w:cs="Arial"/>
                <w:sz w:val="18"/>
                <w:szCs w:val="18"/>
              </w:rPr>
            </w:pPr>
          </w:p>
        </w:tc>
        <w:tc>
          <w:tcPr>
            <w:tcW w:w="1337" w:type="dxa"/>
            <w:tcBorders>
              <w:top w:val="nil"/>
              <w:left w:val="nil"/>
              <w:bottom w:val="single" w:sz="4" w:space="0" w:color="auto"/>
              <w:right w:val="single" w:sz="4" w:space="0" w:color="auto"/>
            </w:tcBorders>
            <w:vAlign w:val="center"/>
          </w:tcPr>
          <w:p w14:paraId="2F419A54" w14:textId="77777777" w:rsidR="0031757D" w:rsidRPr="00A51745" w:rsidRDefault="0031757D">
            <w:pPr>
              <w:spacing w:line="276" w:lineRule="auto"/>
              <w:jc w:val="center"/>
              <w:rPr>
                <w:rFonts w:ascii="Arial Narrow" w:hAnsi="Arial Narrow" w:cs="Arial"/>
                <w:sz w:val="18"/>
                <w:szCs w:val="18"/>
              </w:rPr>
            </w:pPr>
          </w:p>
        </w:tc>
      </w:tr>
      <w:tr w:rsidR="0031757D" w:rsidRPr="00A51745" w14:paraId="0533B75B"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270147B1" w14:textId="77777777" w:rsidR="0031757D" w:rsidRPr="00A51745" w:rsidRDefault="0031757D">
            <w:pPr>
              <w:spacing w:line="276" w:lineRule="auto"/>
              <w:rPr>
                <w:rFonts w:ascii="Arial Narrow" w:hAnsi="Arial Narrow" w:cs="Arial"/>
                <w:sz w:val="18"/>
                <w:szCs w:val="18"/>
              </w:rPr>
            </w:pPr>
            <w:proofErr w:type="spellStart"/>
            <w:r w:rsidRPr="00A51745">
              <w:rPr>
                <w:rFonts w:ascii="Arial Narrow" w:hAnsi="Arial Narrow" w:cs="Arial"/>
                <w:sz w:val="18"/>
                <w:szCs w:val="18"/>
              </w:rPr>
              <w:t>Sensitivity</w:t>
            </w:r>
            <w:proofErr w:type="spellEnd"/>
            <w:r w:rsidRPr="00A51745">
              <w:rPr>
                <w:rFonts w:ascii="Arial Narrow" w:hAnsi="Arial Narrow" w:cs="Arial"/>
                <w:sz w:val="18"/>
                <w:szCs w:val="18"/>
              </w:rPr>
              <w:t xml:space="preserve"> </w:t>
            </w:r>
            <w:proofErr w:type="spellStart"/>
            <w:r w:rsidRPr="00A51745">
              <w:rPr>
                <w:rFonts w:ascii="Arial Narrow" w:hAnsi="Arial Narrow" w:cs="Arial"/>
                <w:sz w:val="18"/>
                <w:szCs w:val="18"/>
              </w:rPr>
              <w:t>Analysis</w:t>
            </w:r>
            <w:proofErr w:type="spellEnd"/>
          </w:p>
        </w:tc>
        <w:tc>
          <w:tcPr>
            <w:tcW w:w="872" w:type="dxa"/>
            <w:tcBorders>
              <w:top w:val="nil"/>
              <w:left w:val="nil"/>
              <w:bottom w:val="single" w:sz="4" w:space="0" w:color="auto"/>
              <w:right w:val="single" w:sz="4" w:space="0" w:color="auto"/>
            </w:tcBorders>
            <w:vAlign w:val="center"/>
            <w:hideMark/>
          </w:tcPr>
          <w:p w14:paraId="7728206D" w14:textId="77777777" w:rsidR="0031757D" w:rsidRPr="00A51745" w:rsidRDefault="0031757D">
            <w:pPr>
              <w:rPr>
                <w:rFonts w:ascii="Arial Narrow" w:hAnsi="Arial Narrow" w:cs="Arial"/>
                <w:sz w:val="18"/>
                <w:szCs w:val="18"/>
              </w:rPr>
            </w:pPr>
          </w:p>
        </w:tc>
        <w:tc>
          <w:tcPr>
            <w:tcW w:w="880" w:type="dxa"/>
            <w:tcBorders>
              <w:top w:val="nil"/>
              <w:left w:val="nil"/>
              <w:bottom w:val="single" w:sz="4" w:space="0" w:color="auto"/>
              <w:right w:val="single" w:sz="4" w:space="0" w:color="auto"/>
            </w:tcBorders>
            <w:vAlign w:val="center"/>
            <w:hideMark/>
          </w:tcPr>
          <w:p w14:paraId="5970DF3F" w14:textId="77777777" w:rsidR="0031757D" w:rsidRPr="00A51745" w:rsidRDefault="0031757D">
            <w:pPr>
              <w:spacing w:line="276" w:lineRule="auto"/>
              <w:jc w:val="center"/>
              <w:rPr>
                <w:rFonts w:ascii="Arial Narrow" w:eastAsia="Times New Roman" w:hAnsi="Arial Narrow" w:cs="Arial"/>
                <w:sz w:val="18"/>
                <w:szCs w:val="18"/>
                <w:lang w:eastAsia="en-GB" w:bidi="ar-SA"/>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5A315238"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312C227C" w14:textId="77777777" w:rsidR="0031757D" w:rsidRPr="00A51745" w:rsidRDefault="0031757D">
            <w:pPr>
              <w:rPr>
                <w:rFonts w:ascii="Arial Narrow" w:hAnsi="Arial Narrow" w:cs="Arial"/>
                <w:sz w:val="18"/>
                <w:szCs w:val="18"/>
              </w:rPr>
            </w:pPr>
          </w:p>
        </w:tc>
      </w:tr>
      <w:tr w:rsidR="0031757D" w:rsidRPr="00A51745" w14:paraId="02117246"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2C0DDC67" w14:textId="77777777" w:rsidR="0031757D" w:rsidRPr="00A51745" w:rsidRDefault="0031757D">
            <w:pPr>
              <w:spacing w:line="276" w:lineRule="auto"/>
              <w:rPr>
                <w:rFonts w:ascii="Arial Narrow" w:eastAsia="Times New Roman" w:hAnsi="Arial Narrow" w:cs="Arial"/>
                <w:sz w:val="18"/>
                <w:szCs w:val="18"/>
                <w:lang w:val="en-GB" w:eastAsia="en-GB" w:bidi="ar-SA"/>
              </w:rPr>
            </w:pPr>
            <w:r w:rsidRPr="00A51745">
              <w:rPr>
                <w:rFonts w:ascii="Arial Narrow" w:hAnsi="Arial Narrow" w:cs="Arial"/>
                <w:sz w:val="18"/>
                <w:szCs w:val="18"/>
                <w:lang w:val="en-GB"/>
              </w:rPr>
              <w:t>Stress Tests and Scenario Analysis</w:t>
            </w:r>
          </w:p>
        </w:tc>
        <w:tc>
          <w:tcPr>
            <w:tcW w:w="872" w:type="dxa"/>
            <w:tcBorders>
              <w:top w:val="nil"/>
              <w:left w:val="nil"/>
              <w:bottom w:val="single" w:sz="4" w:space="0" w:color="auto"/>
              <w:right w:val="single" w:sz="4" w:space="0" w:color="auto"/>
            </w:tcBorders>
            <w:vAlign w:val="center"/>
            <w:hideMark/>
          </w:tcPr>
          <w:p w14:paraId="2ACD13B1"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18793097"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7C49C8AC"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35A47B0D"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r w:rsidR="0031757D" w:rsidRPr="00A51745" w14:paraId="4A7A9E4C" w14:textId="77777777" w:rsidTr="0031757D">
        <w:trPr>
          <w:trHeight w:val="283"/>
          <w:jc w:val="center"/>
        </w:trPr>
        <w:tc>
          <w:tcPr>
            <w:tcW w:w="4707" w:type="dxa"/>
            <w:tcBorders>
              <w:top w:val="nil"/>
              <w:left w:val="single" w:sz="4" w:space="0" w:color="auto"/>
              <w:bottom w:val="single" w:sz="4" w:space="0" w:color="auto"/>
              <w:right w:val="single" w:sz="4" w:space="0" w:color="auto"/>
            </w:tcBorders>
            <w:noWrap/>
            <w:vAlign w:val="center"/>
            <w:hideMark/>
          </w:tcPr>
          <w:p w14:paraId="7259A505" w14:textId="77777777" w:rsidR="0031757D" w:rsidRPr="00A51745" w:rsidRDefault="0031757D">
            <w:pPr>
              <w:spacing w:line="276" w:lineRule="auto"/>
              <w:rPr>
                <w:rFonts w:ascii="Arial Narrow" w:hAnsi="Arial Narrow" w:cs="Arial"/>
                <w:sz w:val="18"/>
                <w:szCs w:val="18"/>
              </w:rPr>
            </w:pPr>
            <w:proofErr w:type="spellStart"/>
            <w:r w:rsidRPr="00A51745">
              <w:rPr>
                <w:rFonts w:ascii="Arial Narrow" w:hAnsi="Arial Narrow" w:cs="Arial"/>
                <w:sz w:val="18"/>
                <w:szCs w:val="18"/>
              </w:rPr>
              <w:t>Concentration</w:t>
            </w:r>
            <w:proofErr w:type="spellEnd"/>
            <w:r w:rsidRPr="00A51745">
              <w:rPr>
                <w:rFonts w:ascii="Arial Narrow" w:hAnsi="Arial Narrow" w:cs="Arial"/>
                <w:sz w:val="18"/>
                <w:szCs w:val="18"/>
              </w:rPr>
              <w:t xml:space="preserve"> Risk</w:t>
            </w:r>
          </w:p>
        </w:tc>
        <w:tc>
          <w:tcPr>
            <w:tcW w:w="872" w:type="dxa"/>
            <w:tcBorders>
              <w:top w:val="nil"/>
              <w:left w:val="nil"/>
              <w:bottom w:val="single" w:sz="4" w:space="0" w:color="auto"/>
              <w:right w:val="single" w:sz="4" w:space="0" w:color="auto"/>
            </w:tcBorders>
            <w:vAlign w:val="center"/>
            <w:hideMark/>
          </w:tcPr>
          <w:p w14:paraId="741C967E"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0" w:type="dxa"/>
            <w:tcBorders>
              <w:top w:val="nil"/>
              <w:left w:val="nil"/>
              <w:bottom w:val="single" w:sz="4" w:space="0" w:color="auto"/>
              <w:right w:val="single" w:sz="4" w:space="0" w:color="auto"/>
            </w:tcBorders>
            <w:vAlign w:val="center"/>
            <w:hideMark/>
          </w:tcPr>
          <w:p w14:paraId="07C66347"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881" w:type="dxa"/>
            <w:tcBorders>
              <w:top w:val="nil"/>
              <w:left w:val="nil"/>
              <w:bottom w:val="single" w:sz="4" w:space="0" w:color="auto"/>
              <w:right w:val="single" w:sz="4" w:space="0" w:color="auto"/>
            </w:tcBorders>
            <w:vAlign w:val="center"/>
            <w:hideMark/>
          </w:tcPr>
          <w:p w14:paraId="60DB45E0"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c>
          <w:tcPr>
            <w:tcW w:w="1337" w:type="dxa"/>
            <w:tcBorders>
              <w:top w:val="nil"/>
              <w:left w:val="nil"/>
              <w:bottom w:val="single" w:sz="4" w:space="0" w:color="auto"/>
              <w:right w:val="single" w:sz="4" w:space="0" w:color="auto"/>
            </w:tcBorders>
            <w:vAlign w:val="center"/>
            <w:hideMark/>
          </w:tcPr>
          <w:p w14:paraId="57148D39" w14:textId="77777777" w:rsidR="0031757D" w:rsidRPr="00A51745" w:rsidRDefault="0031757D">
            <w:pPr>
              <w:spacing w:line="276" w:lineRule="auto"/>
              <w:jc w:val="center"/>
              <w:rPr>
                <w:rFonts w:ascii="Arial Narrow" w:hAnsi="Arial Narrow" w:cs="Arial"/>
                <w:sz w:val="18"/>
                <w:szCs w:val="18"/>
              </w:rPr>
            </w:pPr>
            <w:r w:rsidRPr="00A51745">
              <w:rPr>
                <w:rFonts w:ascii="Arial Narrow" w:hAnsi="Arial Narrow" w:cs="Arial"/>
                <w:sz w:val="18"/>
                <w:szCs w:val="18"/>
              </w:rPr>
              <w:t>Y</w:t>
            </w:r>
          </w:p>
        </w:tc>
      </w:tr>
    </w:tbl>
    <w:p w14:paraId="3411DA7A" w14:textId="43D0F886" w:rsidR="00BE5F31" w:rsidRPr="00A51745" w:rsidRDefault="00BE5F31" w:rsidP="00CC626A">
      <w:pPr>
        <w:pStyle w:val="Default"/>
        <w:tabs>
          <w:tab w:val="left" w:pos="284"/>
        </w:tabs>
        <w:jc w:val="both"/>
        <w:rPr>
          <w:rFonts w:ascii="Arial Narrow" w:hAnsi="Arial Narrow"/>
          <w:color w:val="auto"/>
          <w:sz w:val="22"/>
          <w:szCs w:val="22"/>
        </w:rPr>
      </w:pPr>
    </w:p>
    <w:p w14:paraId="2BF73AC3" w14:textId="77777777" w:rsidR="00C46AD4" w:rsidRPr="00A51745" w:rsidRDefault="00C46AD4" w:rsidP="00CC626A">
      <w:pPr>
        <w:pStyle w:val="Default"/>
        <w:tabs>
          <w:tab w:val="left" w:pos="284"/>
        </w:tabs>
        <w:jc w:val="both"/>
        <w:rPr>
          <w:rFonts w:ascii="Arial Narrow" w:hAnsi="Arial Narrow"/>
          <w:color w:val="auto"/>
          <w:sz w:val="22"/>
          <w:szCs w:val="22"/>
        </w:rPr>
      </w:pPr>
    </w:p>
    <w:p w14:paraId="1DA20F6B" w14:textId="77777777" w:rsidR="007B0B9D" w:rsidRDefault="007B0B9D" w:rsidP="00E109A8">
      <w:pPr>
        <w:pStyle w:val="ListParagraph"/>
        <w:tabs>
          <w:tab w:val="left" w:pos="0"/>
        </w:tabs>
        <w:spacing w:after="0" w:line="240" w:lineRule="auto"/>
        <w:ind w:left="0"/>
        <w:jc w:val="both"/>
        <w:rPr>
          <w:rFonts w:ascii="Arial Narrow" w:hAnsi="Arial Narrow"/>
          <w:b/>
          <w:bCs/>
        </w:rPr>
      </w:pPr>
    </w:p>
    <w:p w14:paraId="46960668" w14:textId="14E483D4" w:rsidR="002E6F69" w:rsidRPr="00A51745" w:rsidRDefault="002E6F69" w:rsidP="00E109A8">
      <w:pPr>
        <w:pStyle w:val="ListParagraph"/>
        <w:tabs>
          <w:tab w:val="left" w:pos="0"/>
        </w:tabs>
        <w:spacing w:after="0" w:line="240" w:lineRule="auto"/>
        <w:ind w:left="0"/>
        <w:jc w:val="both"/>
        <w:rPr>
          <w:rFonts w:ascii="Arial Narrow" w:hAnsi="Arial Narrow"/>
          <w:b/>
          <w:bCs/>
        </w:rPr>
      </w:pPr>
      <w:r w:rsidRPr="00A51745">
        <w:rPr>
          <w:rFonts w:ascii="Arial Narrow" w:hAnsi="Arial Narrow"/>
          <w:b/>
          <w:bCs/>
        </w:rPr>
        <w:lastRenderedPageBreak/>
        <w:t>Risco de Crédito de Contraparte</w:t>
      </w:r>
    </w:p>
    <w:p w14:paraId="0480AD22" w14:textId="0715D844" w:rsidR="002E6F69" w:rsidRPr="00A51745" w:rsidRDefault="002E6F69" w:rsidP="00CC626A">
      <w:pPr>
        <w:tabs>
          <w:tab w:val="left" w:pos="284"/>
        </w:tabs>
        <w:jc w:val="both"/>
        <w:rPr>
          <w:rFonts w:ascii="Arial Narrow" w:hAnsi="Arial Narrow"/>
        </w:rPr>
      </w:pPr>
      <w:r w:rsidRPr="00A51745">
        <w:rPr>
          <w:rFonts w:ascii="Arial Narrow" w:hAnsi="Arial Narrow"/>
        </w:rPr>
        <w:t>O risco de crédito de contraparte é gerido por meio de processos definidos na Política de Risco de Crédito e Contraparte do Grupo (</w:t>
      </w:r>
      <w:r w:rsidRPr="00A51745">
        <w:rPr>
          <w:rFonts w:ascii="Arial Narrow" w:hAnsi="Arial Narrow"/>
          <w:b/>
        </w:rPr>
        <w:t>CCRP</w:t>
      </w:r>
      <w:r w:rsidRPr="00A51745">
        <w:rPr>
          <w:rFonts w:ascii="Arial Narrow" w:hAnsi="Arial Narrow"/>
        </w:rPr>
        <w:t xml:space="preserve">). As políticas de CCRP da </w:t>
      </w:r>
      <w:r w:rsidR="00DE58AE" w:rsidRPr="00A51745">
        <w:rPr>
          <w:rFonts w:ascii="Arial Narrow" w:hAnsi="Arial Narrow"/>
        </w:rPr>
        <w:t>abrdn</w:t>
      </w:r>
      <w:r w:rsidRPr="00A51745">
        <w:rPr>
          <w:rFonts w:ascii="Arial Narrow" w:hAnsi="Arial Narrow"/>
        </w:rPr>
        <w:t xml:space="preserve"> são aplicadas ao Grupo</w:t>
      </w:r>
      <w:r w:rsidR="00DE58AE" w:rsidRPr="00A51745">
        <w:rPr>
          <w:rFonts w:ascii="Arial Narrow" w:hAnsi="Arial Narrow"/>
        </w:rPr>
        <w:t>.</w:t>
      </w:r>
      <w:r w:rsidRPr="00A51745">
        <w:rPr>
          <w:rFonts w:ascii="Arial Narrow" w:hAnsi="Arial Narrow"/>
        </w:rPr>
        <w:t xml:space="preserve"> </w:t>
      </w:r>
    </w:p>
    <w:p w14:paraId="577EB3A9" w14:textId="77777777" w:rsidR="00792BF9" w:rsidRPr="00A51745" w:rsidRDefault="00792BF9" w:rsidP="00CC626A">
      <w:pPr>
        <w:tabs>
          <w:tab w:val="left" w:pos="284"/>
        </w:tabs>
        <w:jc w:val="both"/>
        <w:rPr>
          <w:rFonts w:ascii="Arial Narrow" w:hAnsi="Arial Narrow"/>
          <w:b/>
          <w:bCs/>
        </w:rPr>
      </w:pPr>
    </w:p>
    <w:p w14:paraId="32BF5115" w14:textId="223E2EB0" w:rsidR="00792BF9" w:rsidRPr="00A51745" w:rsidRDefault="00792BF9" w:rsidP="00CC626A">
      <w:pPr>
        <w:pStyle w:val="Default"/>
        <w:tabs>
          <w:tab w:val="left" w:pos="284"/>
        </w:tabs>
        <w:jc w:val="both"/>
        <w:rPr>
          <w:rFonts w:ascii="Arial Narrow" w:hAnsi="Arial Narrow"/>
          <w:color w:val="auto"/>
          <w:sz w:val="22"/>
          <w:szCs w:val="22"/>
        </w:rPr>
      </w:pPr>
      <w:r w:rsidRPr="00A51745">
        <w:rPr>
          <w:rFonts w:ascii="Arial Narrow" w:hAnsi="Arial Narrow"/>
          <w:color w:val="auto"/>
          <w:sz w:val="22"/>
          <w:szCs w:val="22"/>
        </w:rPr>
        <w:t xml:space="preserve">Aprovação da Contraparte de crédito e Avaliações Internas de Crédito </w:t>
      </w:r>
      <w:r w:rsidR="00F6361F" w:rsidRPr="00A51745">
        <w:rPr>
          <w:rFonts w:ascii="Arial Narrow" w:hAnsi="Arial Narrow"/>
          <w:color w:val="auto"/>
          <w:sz w:val="22"/>
          <w:szCs w:val="22"/>
        </w:rPr>
        <w:t>–</w:t>
      </w:r>
      <w:r w:rsidRPr="00A51745">
        <w:rPr>
          <w:rFonts w:ascii="Arial Narrow" w:hAnsi="Arial Narrow"/>
          <w:color w:val="auto"/>
          <w:sz w:val="22"/>
          <w:szCs w:val="22"/>
        </w:rPr>
        <w:t xml:space="preserve"> </w:t>
      </w:r>
      <w:r w:rsidR="00F6361F" w:rsidRPr="00A51745">
        <w:rPr>
          <w:rFonts w:ascii="Arial Narrow" w:hAnsi="Arial Narrow"/>
          <w:color w:val="auto"/>
          <w:sz w:val="22"/>
          <w:szCs w:val="22"/>
        </w:rPr>
        <w:t xml:space="preserve">Os princípios de Contraparte e Risco de Crédito da </w:t>
      </w:r>
      <w:r w:rsidR="00A51745">
        <w:rPr>
          <w:rFonts w:ascii="Arial Narrow" w:hAnsi="Arial Narrow"/>
          <w:color w:val="auto"/>
          <w:sz w:val="22"/>
          <w:szCs w:val="22"/>
        </w:rPr>
        <w:t>abrdn</w:t>
      </w:r>
      <w:r w:rsidR="00F6361F" w:rsidRPr="00A51745">
        <w:rPr>
          <w:rFonts w:ascii="Arial Narrow" w:hAnsi="Arial Narrow"/>
          <w:color w:val="auto"/>
          <w:sz w:val="22"/>
          <w:szCs w:val="22"/>
        </w:rPr>
        <w:t xml:space="preserve"> </w:t>
      </w:r>
      <w:r w:rsidRPr="00A51745">
        <w:rPr>
          <w:rFonts w:ascii="Arial Narrow" w:hAnsi="Arial Narrow"/>
          <w:color w:val="auto"/>
          <w:sz w:val="22"/>
          <w:szCs w:val="22"/>
        </w:rPr>
        <w:t>exige</w:t>
      </w:r>
      <w:r w:rsidR="00F6361F" w:rsidRPr="00A51745">
        <w:rPr>
          <w:rFonts w:ascii="Arial Narrow" w:hAnsi="Arial Narrow"/>
          <w:color w:val="auto"/>
          <w:sz w:val="22"/>
          <w:szCs w:val="22"/>
        </w:rPr>
        <w:t>m</w:t>
      </w:r>
      <w:r w:rsidRPr="00A51745">
        <w:rPr>
          <w:rFonts w:ascii="Arial Narrow" w:hAnsi="Arial Narrow"/>
          <w:color w:val="auto"/>
          <w:sz w:val="22"/>
          <w:szCs w:val="22"/>
        </w:rPr>
        <w:t xml:space="preserve"> que todas as contrapartes sejam aprovadas pelo </w:t>
      </w:r>
      <w:r w:rsidR="00A51745">
        <w:rPr>
          <w:rFonts w:ascii="Arial Narrow" w:hAnsi="Arial Narrow"/>
          <w:color w:val="auto"/>
          <w:sz w:val="22"/>
          <w:szCs w:val="22"/>
        </w:rPr>
        <w:t xml:space="preserve">Fórum de </w:t>
      </w:r>
      <w:r w:rsidR="00A51745" w:rsidRPr="00A51745">
        <w:rPr>
          <w:rFonts w:ascii="Arial Narrow" w:hAnsi="Arial Narrow"/>
          <w:color w:val="auto"/>
          <w:sz w:val="22"/>
          <w:szCs w:val="22"/>
        </w:rPr>
        <w:t>Crédito</w:t>
      </w:r>
      <w:r w:rsidR="00A51745">
        <w:rPr>
          <w:rFonts w:ascii="Arial Narrow" w:hAnsi="Arial Narrow"/>
          <w:color w:val="auto"/>
          <w:sz w:val="22"/>
          <w:szCs w:val="22"/>
        </w:rPr>
        <w:t xml:space="preserve"> de Contraparte </w:t>
      </w:r>
      <w:r w:rsidRPr="00A51745">
        <w:rPr>
          <w:rFonts w:ascii="Arial Narrow" w:hAnsi="Arial Narrow"/>
          <w:color w:val="auto"/>
          <w:sz w:val="22"/>
          <w:szCs w:val="22"/>
        </w:rPr>
        <w:t xml:space="preserve"> antes que o risco de crédito possa ser considerado contra elas. As aprovações farão referência, e poderão aplicar limitações às classes de negócio que podem ser assumidas. Com o intuito de apoiar o processo de tomada de decisão do C</w:t>
      </w:r>
      <w:r w:rsidR="00F6361F" w:rsidRPr="00A51745">
        <w:rPr>
          <w:rFonts w:ascii="Arial Narrow" w:hAnsi="Arial Narrow"/>
          <w:color w:val="auto"/>
          <w:sz w:val="22"/>
          <w:szCs w:val="22"/>
        </w:rPr>
        <w:t xml:space="preserve">omitê de </w:t>
      </w:r>
      <w:r w:rsidRPr="00A51745">
        <w:rPr>
          <w:rFonts w:ascii="Arial Narrow" w:hAnsi="Arial Narrow"/>
          <w:color w:val="auto"/>
          <w:sz w:val="22"/>
          <w:szCs w:val="22"/>
        </w:rPr>
        <w:t>C</w:t>
      </w:r>
      <w:r w:rsidR="00F6361F" w:rsidRPr="00A51745">
        <w:rPr>
          <w:rFonts w:ascii="Arial Narrow" w:hAnsi="Arial Narrow"/>
          <w:color w:val="auto"/>
          <w:sz w:val="22"/>
          <w:szCs w:val="22"/>
        </w:rPr>
        <w:t xml:space="preserve">rédito da </w:t>
      </w:r>
      <w:r w:rsidR="00A51745">
        <w:rPr>
          <w:rFonts w:ascii="Arial Narrow" w:hAnsi="Arial Narrow"/>
          <w:color w:val="auto"/>
          <w:sz w:val="22"/>
          <w:szCs w:val="22"/>
        </w:rPr>
        <w:t xml:space="preserve">abrdn </w:t>
      </w:r>
      <w:r w:rsidR="00F6361F" w:rsidRPr="00A51745">
        <w:rPr>
          <w:rFonts w:ascii="Arial Narrow" w:hAnsi="Arial Narrow"/>
          <w:color w:val="auto"/>
          <w:sz w:val="22"/>
          <w:szCs w:val="22"/>
        </w:rPr>
        <w:t xml:space="preserve"> </w:t>
      </w:r>
      <w:r w:rsidRPr="00A51745">
        <w:rPr>
          <w:rFonts w:ascii="Arial Narrow" w:hAnsi="Arial Narrow"/>
          <w:color w:val="auto"/>
          <w:sz w:val="22"/>
          <w:szCs w:val="22"/>
        </w:rPr>
        <w:t xml:space="preserve"> a equipe de </w:t>
      </w:r>
      <w:proofErr w:type="spellStart"/>
      <w:r w:rsidR="00F6361F" w:rsidRPr="00A51745">
        <w:rPr>
          <w:rFonts w:ascii="Arial Narrow" w:hAnsi="Arial Narrow"/>
          <w:color w:val="auto"/>
          <w:sz w:val="22"/>
          <w:szCs w:val="22"/>
        </w:rPr>
        <w:t>Credit</w:t>
      </w:r>
      <w:proofErr w:type="spellEnd"/>
      <w:r w:rsidR="00F6361F" w:rsidRPr="00A51745">
        <w:rPr>
          <w:rFonts w:ascii="Arial Narrow" w:hAnsi="Arial Narrow"/>
          <w:color w:val="auto"/>
          <w:sz w:val="22"/>
          <w:szCs w:val="22"/>
        </w:rPr>
        <w:t xml:space="preserve"> Research</w:t>
      </w:r>
      <w:r w:rsidRPr="00A51745">
        <w:rPr>
          <w:rFonts w:ascii="Arial Narrow" w:hAnsi="Arial Narrow"/>
          <w:color w:val="auto"/>
          <w:sz w:val="22"/>
          <w:szCs w:val="22"/>
        </w:rPr>
        <w:t xml:space="preserve"> realiza uma Avaliação de Crédito de qualquer nova Contraparte de Crédito que seja apresentada ao </w:t>
      </w:r>
      <w:r w:rsidR="00A51745">
        <w:rPr>
          <w:rFonts w:ascii="Arial Narrow" w:hAnsi="Arial Narrow"/>
          <w:color w:val="auto"/>
          <w:sz w:val="22"/>
          <w:szCs w:val="22"/>
        </w:rPr>
        <w:t xml:space="preserve"> Fórum de </w:t>
      </w:r>
      <w:r w:rsidR="00F6361F" w:rsidRPr="00A51745">
        <w:rPr>
          <w:rFonts w:ascii="Arial Narrow" w:hAnsi="Arial Narrow"/>
          <w:color w:val="auto"/>
          <w:sz w:val="22"/>
          <w:szCs w:val="22"/>
        </w:rPr>
        <w:t>Crédito</w:t>
      </w:r>
      <w:r w:rsidR="00A51745">
        <w:rPr>
          <w:rFonts w:ascii="Arial Narrow" w:hAnsi="Arial Narrow"/>
          <w:color w:val="auto"/>
          <w:sz w:val="22"/>
          <w:szCs w:val="22"/>
        </w:rPr>
        <w:t xml:space="preserve"> de Contraparte da </w:t>
      </w:r>
      <w:proofErr w:type="spellStart"/>
      <w:r w:rsidR="00A51745">
        <w:rPr>
          <w:rFonts w:ascii="Arial Narrow" w:hAnsi="Arial Narrow"/>
          <w:color w:val="auto"/>
          <w:sz w:val="22"/>
          <w:szCs w:val="22"/>
        </w:rPr>
        <w:t>abrdn</w:t>
      </w:r>
      <w:r w:rsidR="00F6361F" w:rsidRPr="00A51745">
        <w:rPr>
          <w:rFonts w:ascii="Arial Narrow" w:hAnsi="Arial Narrow"/>
          <w:color w:val="auto"/>
          <w:sz w:val="22"/>
          <w:szCs w:val="22"/>
        </w:rPr>
        <w:t>I</w:t>
      </w:r>
      <w:proofErr w:type="spellEnd"/>
      <w:r w:rsidRPr="00A51745">
        <w:rPr>
          <w:rFonts w:ascii="Arial Narrow" w:hAnsi="Arial Narrow"/>
          <w:color w:val="auto"/>
          <w:sz w:val="22"/>
          <w:szCs w:val="22"/>
        </w:rPr>
        <w:t xml:space="preserve">. </w:t>
      </w:r>
    </w:p>
    <w:p w14:paraId="709661AD" w14:textId="77777777" w:rsidR="00ED57DE" w:rsidRPr="00A51745" w:rsidRDefault="00ED57DE" w:rsidP="00CC626A">
      <w:pPr>
        <w:pStyle w:val="Default"/>
        <w:tabs>
          <w:tab w:val="left" w:pos="284"/>
        </w:tabs>
        <w:jc w:val="both"/>
        <w:rPr>
          <w:rFonts w:ascii="Arial Narrow" w:hAnsi="Arial Narrow"/>
          <w:color w:val="auto"/>
          <w:sz w:val="22"/>
          <w:szCs w:val="22"/>
        </w:rPr>
      </w:pPr>
    </w:p>
    <w:p w14:paraId="542E1BE3" w14:textId="3814F31A" w:rsidR="00792BF9" w:rsidRPr="00A51745" w:rsidRDefault="00BE0069" w:rsidP="00CC626A">
      <w:pPr>
        <w:pStyle w:val="Default"/>
        <w:tabs>
          <w:tab w:val="left" w:pos="284"/>
        </w:tabs>
        <w:jc w:val="both"/>
        <w:rPr>
          <w:rFonts w:ascii="Arial Narrow" w:hAnsi="Arial Narrow"/>
          <w:color w:val="auto"/>
          <w:sz w:val="22"/>
          <w:szCs w:val="22"/>
        </w:rPr>
      </w:pPr>
      <w:r w:rsidRPr="00A51745">
        <w:rPr>
          <w:rFonts w:ascii="Arial Narrow" w:hAnsi="Arial Narrow"/>
          <w:color w:val="auto"/>
          <w:sz w:val="22"/>
          <w:szCs w:val="22"/>
        </w:rPr>
        <w:t xml:space="preserve">As contrapartes são revistas no mínimo uma vez por ano. No caso de uma Contraparte não estar sujeita a uma Avaliação de Crédito dentro de 15 meses após sua revisão anterior, a aprovação de tal Contraparte caducará automaticamente e o </w:t>
      </w:r>
      <w:r w:rsidR="00A51745">
        <w:rPr>
          <w:rFonts w:ascii="Arial Narrow" w:hAnsi="Arial Narrow"/>
          <w:color w:val="auto"/>
          <w:sz w:val="22"/>
          <w:szCs w:val="22"/>
        </w:rPr>
        <w:t xml:space="preserve">Fórum de </w:t>
      </w:r>
      <w:r w:rsidR="00A51745" w:rsidRPr="00A51745">
        <w:rPr>
          <w:rFonts w:ascii="Arial Narrow" w:hAnsi="Arial Narrow"/>
          <w:color w:val="auto"/>
          <w:sz w:val="22"/>
          <w:szCs w:val="22"/>
        </w:rPr>
        <w:t>Crédito</w:t>
      </w:r>
      <w:r w:rsidR="00A51745">
        <w:rPr>
          <w:rFonts w:ascii="Arial Narrow" w:hAnsi="Arial Narrow"/>
          <w:color w:val="auto"/>
          <w:sz w:val="22"/>
          <w:szCs w:val="22"/>
        </w:rPr>
        <w:t xml:space="preserve"> de Contraparte </w:t>
      </w:r>
      <w:r w:rsidRPr="00A51745">
        <w:rPr>
          <w:rFonts w:ascii="Arial Narrow" w:hAnsi="Arial Narrow"/>
          <w:color w:val="auto"/>
          <w:sz w:val="22"/>
          <w:szCs w:val="22"/>
        </w:rPr>
        <w:t xml:space="preserve">tomará medidas corretivas para reduzir ou eliminar as Exposições de Risco de Crédito existentes. Poderão ser necessárias revisões intercalares </w:t>
      </w:r>
      <w:r w:rsidRPr="00A51745">
        <w:rPr>
          <w:rFonts w:ascii="Arial Narrow" w:hAnsi="Arial Narrow"/>
          <w:i/>
          <w:iCs/>
          <w:color w:val="auto"/>
          <w:sz w:val="22"/>
          <w:szCs w:val="22"/>
        </w:rPr>
        <w:t>ad hoc</w:t>
      </w:r>
      <w:r w:rsidRPr="00A51745">
        <w:rPr>
          <w:rFonts w:ascii="Arial Narrow" w:hAnsi="Arial Narrow"/>
          <w:color w:val="auto"/>
          <w:sz w:val="22"/>
          <w:szCs w:val="22"/>
        </w:rPr>
        <w:t xml:space="preserve"> de uma contraparte fora do ciclo designado, caso o</w:t>
      </w:r>
      <w:r w:rsidR="00A51745">
        <w:rPr>
          <w:rFonts w:ascii="Arial Narrow" w:hAnsi="Arial Narrow"/>
          <w:color w:val="auto"/>
          <w:sz w:val="22"/>
          <w:szCs w:val="22"/>
        </w:rPr>
        <w:t xml:space="preserve"> Fórum de </w:t>
      </w:r>
      <w:r w:rsidR="00A51745" w:rsidRPr="00A51745">
        <w:rPr>
          <w:rFonts w:ascii="Arial Narrow" w:hAnsi="Arial Narrow"/>
          <w:color w:val="auto"/>
          <w:sz w:val="22"/>
          <w:szCs w:val="22"/>
        </w:rPr>
        <w:t>Crédito</w:t>
      </w:r>
      <w:r w:rsidR="00A51745">
        <w:rPr>
          <w:rFonts w:ascii="Arial Narrow" w:hAnsi="Arial Narrow"/>
          <w:color w:val="auto"/>
          <w:sz w:val="22"/>
          <w:szCs w:val="22"/>
        </w:rPr>
        <w:t xml:space="preserve"> de Contraparte</w:t>
      </w:r>
      <w:r w:rsidRPr="00A51745">
        <w:rPr>
          <w:rFonts w:ascii="Arial Narrow" w:hAnsi="Arial Narrow"/>
          <w:color w:val="auto"/>
          <w:sz w:val="22"/>
          <w:szCs w:val="22"/>
        </w:rPr>
        <w:t xml:space="preserve"> ou seu Presidente considere adequado.</w:t>
      </w:r>
    </w:p>
    <w:p w14:paraId="07F0BEFE" w14:textId="77777777" w:rsidR="00792BF9" w:rsidRPr="00A51745" w:rsidRDefault="00792BF9" w:rsidP="00CC626A">
      <w:pPr>
        <w:pStyle w:val="Default"/>
        <w:tabs>
          <w:tab w:val="left" w:pos="284"/>
        </w:tabs>
        <w:jc w:val="both"/>
        <w:rPr>
          <w:rFonts w:ascii="Arial Narrow" w:hAnsi="Arial Narrow"/>
          <w:color w:val="auto"/>
          <w:sz w:val="22"/>
          <w:szCs w:val="22"/>
        </w:rPr>
      </w:pPr>
    </w:p>
    <w:p w14:paraId="39DBBC7D" w14:textId="40C49ABA" w:rsidR="00792BF9" w:rsidRPr="00A51745" w:rsidRDefault="00792BF9" w:rsidP="00CC626A">
      <w:pPr>
        <w:tabs>
          <w:tab w:val="left" w:pos="284"/>
        </w:tabs>
        <w:jc w:val="both"/>
        <w:rPr>
          <w:rFonts w:ascii="Arial Narrow" w:hAnsi="Arial Narrow"/>
        </w:rPr>
      </w:pPr>
      <w:r w:rsidRPr="00A51745">
        <w:rPr>
          <w:rFonts w:ascii="Arial Narrow" w:hAnsi="Arial Narrow"/>
        </w:rPr>
        <w:t xml:space="preserve">As Avaliações de Crédito das Contrapartes existentes são apresentadas ao </w:t>
      </w:r>
      <w:r w:rsidR="00A51745">
        <w:rPr>
          <w:rFonts w:ascii="Arial Narrow" w:hAnsi="Arial Narrow"/>
        </w:rPr>
        <w:t xml:space="preserve">Fórum de </w:t>
      </w:r>
      <w:r w:rsidR="00A51745" w:rsidRPr="00A51745">
        <w:rPr>
          <w:rFonts w:ascii="Arial Narrow" w:hAnsi="Arial Narrow"/>
        </w:rPr>
        <w:t>Crédito</w:t>
      </w:r>
      <w:r w:rsidR="00A51745">
        <w:rPr>
          <w:rFonts w:ascii="Arial Narrow" w:hAnsi="Arial Narrow"/>
        </w:rPr>
        <w:t xml:space="preserve"> de Contraparte </w:t>
      </w:r>
      <w:r w:rsidRPr="00A51745">
        <w:rPr>
          <w:rFonts w:ascii="Arial Narrow" w:hAnsi="Arial Narrow"/>
        </w:rPr>
        <w:t xml:space="preserve"> para apreciação, cujo resultado poderá ser a revogação da aprovação ou a redução do </w:t>
      </w:r>
      <w:r w:rsidR="007579B5" w:rsidRPr="00A51745">
        <w:rPr>
          <w:rFonts w:ascii="Arial Narrow" w:hAnsi="Arial Narrow"/>
        </w:rPr>
        <w:t>L</w:t>
      </w:r>
      <w:r w:rsidRPr="00A51745">
        <w:rPr>
          <w:rFonts w:ascii="Arial Narrow" w:hAnsi="Arial Narrow"/>
        </w:rPr>
        <w:t xml:space="preserve">imite de </w:t>
      </w:r>
      <w:r w:rsidR="007579B5" w:rsidRPr="00A51745">
        <w:rPr>
          <w:rFonts w:ascii="Arial Narrow" w:hAnsi="Arial Narrow"/>
        </w:rPr>
        <w:t>E</w:t>
      </w:r>
      <w:r w:rsidRPr="00A51745">
        <w:rPr>
          <w:rFonts w:ascii="Arial Narrow" w:hAnsi="Arial Narrow"/>
        </w:rPr>
        <w:t>xposição. Qualquer medida corretiva necessária será acordada pelo</w:t>
      </w:r>
      <w:r w:rsidR="00A51745">
        <w:rPr>
          <w:rFonts w:ascii="Arial Narrow" w:hAnsi="Arial Narrow"/>
        </w:rPr>
        <w:t xml:space="preserve"> Fórum</w:t>
      </w:r>
      <w:r w:rsidRPr="00A51745">
        <w:rPr>
          <w:rFonts w:ascii="Arial Narrow" w:hAnsi="Arial Narrow"/>
        </w:rPr>
        <w:t xml:space="preserve">, e comunicada ao </w:t>
      </w:r>
      <w:r w:rsidR="00A51745">
        <w:rPr>
          <w:rFonts w:ascii="Arial Narrow" w:hAnsi="Arial Narrow"/>
        </w:rPr>
        <w:t>Comitê de Exposição a Riscos</w:t>
      </w:r>
      <w:r w:rsidRPr="00A51745">
        <w:rPr>
          <w:rFonts w:ascii="Arial Narrow" w:hAnsi="Arial Narrow"/>
        </w:rPr>
        <w:t xml:space="preserve">, e sempre levará em consideração os interesses do Cliente em questão. Em circunstâncias normais, o </w:t>
      </w:r>
      <w:r w:rsidR="00A51745">
        <w:rPr>
          <w:rFonts w:ascii="Arial Narrow" w:hAnsi="Arial Narrow"/>
        </w:rPr>
        <w:t xml:space="preserve">Fórum de </w:t>
      </w:r>
      <w:r w:rsidR="00A51745" w:rsidRPr="00A51745">
        <w:rPr>
          <w:rFonts w:ascii="Arial Narrow" w:hAnsi="Arial Narrow"/>
        </w:rPr>
        <w:t>Crédito</w:t>
      </w:r>
      <w:r w:rsidR="00A51745">
        <w:rPr>
          <w:rFonts w:ascii="Arial Narrow" w:hAnsi="Arial Narrow"/>
        </w:rPr>
        <w:t xml:space="preserve"> de Contraparte </w:t>
      </w:r>
      <w:r w:rsidRPr="00A51745">
        <w:rPr>
          <w:rFonts w:ascii="Arial Narrow" w:hAnsi="Arial Narrow"/>
        </w:rPr>
        <w:t xml:space="preserve"> espera que todas as medidas corretivas sejam </w:t>
      </w:r>
      <w:r w:rsidR="00192E3D" w:rsidRPr="00A51745">
        <w:rPr>
          <w:rFonts w:ascii="Arial Narrow" w:hAnsi="Arial Narrow"/>
        </w:rPr>
        <w:t>adotadas</w:t>
      </w:r>
      <w:r w:rsidRPr="00A51745">
        <w:rPr>
          <w:rFonts w:ascii="Arial Narrow" w:hAnsi="Arial Narrow"/>
        </w:rPr>
        <w:t xml:space="preserve"> dentro de um período de um mês, mas pode exigir uma ação imediata, por exemplo, o rebaixamento da contraparte; em condições de tensão do mercado; e/ou de acordo com as instruções de um Cliente.</w:t>
      </w:r>
      <w:r w:rsidR="007579B5" w:rsidRPr="00A51745">
        <w:rPr>
          <w:rFonts w:ascii="Arial Narrow" w:hAnsi="Arial Narrow"/>
        </w:rPr>
        <w:t xml:space="preserve"> </w:t>
      </w:r>
    </w:p>
    <w:p w14:paraId="3DDAD350" w14:textId="77777777" w:rsidR="00792BF9" w:rsidRPr="00A51745" w:rsidRDefault="00792BF9" w:rsidP="00CC626A">
      <w:pPr>
        <w:tabs>
          <w:tab w:val="left" w:pos="284"/>
        </w:tabs>
        <w:jc w:val="both"/>
        <w:rPr>
          <w:rFonts w:ascii="Arial Narrow" w:hAnsi="Arial Narrow"/>
        </w:rPr>
      </w:pPr>
    </w:p>
    <w:p w14:paraId="055DA6F4" w14:textId="77777777" w:rsidR="00135853" w:rsidRPr="00A51745" w:rsidRDefault="00135853" w:rsidP="00135853">
      <w:pPr>
        <w:tabs>
          <w:tab w:val="left" w:pos="284"/>
        </w:tabs>
        <w:jc w:val="both"/>
        <w:rPr>
          <w:rFonts w:ascii="Arial Narrow" w:hAnsi="Arial Narrow"/>
          <w:bCs/>
        </w:rPr>
      </w:pPr>
      <w:r w:rsidRPr="00A51745">
        <w:rPr>
          <w:rFonts w:ascii="Arial Narrow" w:hAnsi="Arial Narrow"/>
          <w:b/>
          <w:bCs/>
        </w:rPr>
        <w:t>Risco de Liquidez</w:t>
      </w:r>
    </w:p>
    <w:p w14:paraId="5C17C234" w14:textId="77777777" w:rsidR="00135853" w:rsidRPr="00A51745" w:rsidRDefault="00135853" w:rsidP="00135853">
      <w:pPr>
        <w:tabs>
          <w:tab w:val="left" w:pos="284"/>
        </w:tabs>
        <w:jc w:val="both"/>
        <w:rPr>
          <w:rFonts w:ascii="Arial Narrow" w:hAnsi="Arial Narrow"/>
        </w:rPr>
      </w:pPr>
    </w:p>
    <w:p w14:paraId="600ECF21" w14:textId="589445B2" w:rsidR="00B7347E" w:rsidRPr="00A51745" w:rsidRDefault="00B7347E" w:rsidP="00135853">
      <w:pPr>
        <w:tabs>
          <w:tab w:val="left" w:pos="284"/>
        </w:tabs>
        <w:jc w:val="both"/>
        <w:rPr>
          <w:rFonts w:ascii="Arial Narrow" w:hAnsi="Arial Narrow"/>
        </w:rPr>
      </w:pPr>
      <w:r w:rsidRPr="00A51745">
        <w:rPr>
          <w:rFonts w:ascii="Arial Narrow" w:hAnsi="Arial Narrow"/>
        </w:rPr>
        <w:t>A Gestora deve manter um nível de liquidez no Fundo adequado às suas obrigações subjacentes, com base em uma avaliação da liquidez relativa dos ativos do Fundo no mercado, levando em consideração o tempo necessário para a liquida</w:t>
      </w:r>
      <w:r w:rsidR="00F74728" w:rsidRPr="00A51745">
        <w:rPr>
          <w:rFonts w:ascii="Arial Narrow" w:hAnsi="Arial Narrow"/>
        </w:rPr>
        <w:t xml:space="preserve">ção </w:t>
      </w:r>
      <w:r w:rsidR="005A1395" w:rsidRPr="00A51745">
        <w:rPr>
          <w:rFonts w:ascii="Arial Narrow" w:hAnsi="Arial Narrow"/>
        </w:rPr>
        <w:t xml:space="preserve">e o preço ou valor em que esses ativos podem ser liquidados. </w:t>
      </w:r>
    </w:p>
    <w:p w14:paraId="332D1A67" w14:textId="77777777" w:rsidR="00B7347E" w:rsidRPr="00A51745" w:rsidRDefault="00B7347E" w:rsidP="00135853">
      <w:pPr>
        <w:tabs>
          <w:tab w:val="left" w:pos="284"/>
        </w:tabs>
        <w:jc w:val="both"/>
        <w:rPr>
          <w:rFonts w:ascii="Arial Narrow" w:hAnsi="Arial Narrow"/>
        </w:rPr>
      </w:pPr>
    </w:p>
    <w:p w14:paraId="5DD5483D" w14:textId="77777777" w:rsidR="00135853" w:rsidRPr="00A51745" w:rsidRDefault="00135853" w:rsidP="00135853">
      <w:pPr>
        <w:tabs>
          <w:tab w:val="left" w:pos="284"/>
        </w:tabs>
        <w:jc w:val="both"/>
        <w:rPr>
          <w:rFonts w:ascii="Arial Narrow" w:hAnsi="Arial Narrow"/>
        </w:rPr>
      </w:pPr>
    </w:p>
    <w:p w14:paraId="5A412A7E" w14:textId="4BC8B49A" w:rsidR="00135853" w:rsidRPr="00A51745" w:rsidRDefault="00135853" w:rsidP="00135853">
      <w:pPr>
        <w:tabs>
          <w:tab w:val="left" w:pos="284"/>
        </w:tabs>
        <w:jc w:val="both"/>
        <w:rPr>
          <w:rFonts w:ascii="Arial Narrow" w:hAnsi="Arial Narrow"/>
        </w:rPr>
      </w:pPr>
      <w:r w:rsidRPr="00A51745">
        <w:rPr>
          <w:rFonts w:ascii="Arial Narrow" w:hAnsi="Arial Narrow"/>
        </w:rPr>
        <w:t xml:space="preserve">É nossa posição que a política de gestão do risco de liquidez e os processos, controles, etc. relacionados proporcionem um meio razoável para identificar, monitorar e gerir os riscos de liquidez dos portfólios </w:t>
      </w:r>
      <w:r w:rsidR="005A1395" w:rsidRPr="00A51745">
        <w:rPr>
          <w:rFonts w:ascii="Arial Narrow" w:hAnsi="Arial Narrow"/>
        </w:rPr>
        <w:t>abrdn</w:t>
      </w:r>
      <w:r w:rsidRPr="00A51745">
        <w:rPr>
          <w:rFonts w:ascii="Arial Narrow" w:hAnsi="Arial Narrow"/>
        </w:rPr>
        <w:t xml:space="preserve"> e assegurar que o perfil de liquidez dos investimentos subjacentes seja adequado para satisfazer os pedidos de resgate. A política, combinada com as ferramentas de gestão de liquidez, e processos relacionados, visa também alcançar um tratamento justo dos investidores e proteger os interesses dos clientes remanescentes em caso de resgates significativos.</w:t>
      </w:r>
    </w:p>
    <w:p w14:paraId="7DF2FE70" w14:textId="77777777" w:rsidR="005A1395" w:rsidRPr="00A51745" w:rsidRDefault="005A1395" w:rsidP="00135853">
      <w:pPr>
        <w:tabs>
          <w:tab w:val="left" w:pos="284"/>
        </w:tabs>
        <w:jc w:val="both"/>
        <w:rPr>
          <w:rFonts w:ascii="Arial Narrow" w:hAnsi="Arial Narrow"/>
        </w:rPr>
      </w:pPr>
    </w:p>
    <w:p w14:paraId="795E7F43" w14:textId="11F94250" w:rsidR="005A1395" w:rsidRPr="00A51745" w:rsidRDefault="005A1395" w:rsidP="00135853">
      <w:pPr>
        <w:tabs>
          <w:tab w:val="left" w:pos="284"/>
        </w:tabs>
        <w:jc w:val="both"/>
        <w:rPr>
          <w:rFonts w:ascii="Arial Narrow" w:hAnsi="Arial Narrow"/>
        </w:rPr>
      </w:pPr>
      <w:r w:rsidRPr="00A51745">
        <w:rPr>
          <w:rFonts w:ascii="Arial Narrow" w:hAnsi="Arial Narrow"/>
        </w:rPr>
        <w:t>A avaliação também verifica se o perfil de liquidez do ativo é adequado ao risco de responsabilidade ou risco de financiamento dos Fundos, levando em consideração os arranjos de contingência disponíveis para gerenciar o risco de responsabilidade e os buffers de liquidez do fundo. Para obter mais informações sobre o processo de gerenciamento de risco de liquidez e dos testes de estresse realizados, consulte a seção 3 da RMP.</w:t>
      </w:r>
    </w:p>
    <w:p w14:paraId="110817EA" w14:textId="77777777" w:rsidR="00135853" w:rsidRPr="00A51745" w:rsidRDefault="00135853" w:rsidP="00135853">
      <w:pPr>
        <w:tabs>
          <w:tab w:val="left" w:pos="284"/>
        </w:tabs>
        <w:jc w:val="both"/>
        <w:rPr>
          <w:rFonts w:ascii="Arial Narrow" w:hAnsi="Arial Narrow"/>
        </w:rPr>
      </w:pPr>
    </w:p>
    <w:p w14:paraId="4670A279" w14:textId="77777777" w:rsidR="00822044" w:rsidRPr="00A51745" w:rsidRDefault="00822044" w:rsidP="00135853">
      <w:pPr>
        <w:pStyle w:val="ListParagraph"/>
        <w:tabs>
          <w:tab w:val="left" w:pos="284"/>
        </w:tabs>
        <w:spacing w:after="0" w:line="240" w:lineRule="auto"/>
        <w:ind w:left="0"/>
        <w:jc w:val="both"/>
        <w:rPr>
          <w:rFonts w:ascii="Arial Narrow" w:hAnsi="Arial Narrow"/>
          <w:b/>
          <w:bCs/>
        </w:rPr>
      </w:pPr>
    </w:p>
    <w:p w14:paraId="3DB490E4" w14:textId="3951DEFE" w:rsidR="00DA0352" w:rsidRPr="007B0B9D" w:rsidRDefault="00DA0352" w:rsidP="00DA0352">
      <w:pPr>
        <w:pStyle w:val="ListParagraph"/>
        <w:tabs>
          <w:tab w:val="left" w:pos="284"/>
        </w:tabs>
        <w:jc w:val="both"/>
        <w:rPr>
          <w:rFonts w:ascii="Arial Narrow" w:hAnsi="Arial Narrow" w:cs="Arial"/>
          <w:b/>
          <w:szCs w:val="20"/>
        </w:rPr>
      </w:pPr>
      <w:bookmarkStart w:id="6" w:name="_Hlk114764783"/>
      <w:r w:rsidRPr="00A51745">
        <w:rPr>
          <w:rFonts w:ascii="Arial Narrow" w:hAnsi="Arial Narrow" w:cs="Arial"/>
          <w:bCs/>
          <w:szCs w:val="20"/>
        </w:rPr>
        <w:t xml:space="preserve"> </w:t>
      </w:r>
      <w:r w:rsidRPr="007B0B9D">
        <w:rPr>
          <w:rFonts w:ascii="Arial Narrow" w:hAnsi="Arial Narrow" w:cs="Arial"/>
          <w:b/>
          <w:szCs w:val="20"/>
        </w:rPr>
        <w:t>Risco de Sustentabilidade</w:t>
      </w:r>
    </w:p>
    <w:p w14:paraId="17D145E9" w14:textId="46D69292" w:rsidR="00174F45" w:rsidRPr="00A51745" w:rsidRDefault="00DA0352" w:rsidP="007B0B9D">
      <w:pPr>
        <w:pStyle w:val="ListParagraph"/>
        <w:spacing w:after="0"/>
        <w:ind w:left="360"/>
        <w:rPr>
          <w:rFonts w:ascii="Arial Narrow" w:hAnsi="Arial Narrow" w:cs="Arial"/>
          <w:bCs/>
          <w:szCs w:val="20"/>
          <w:lang w:eastAsia="en-GB"/>
        </w:rPr>
      </w:pPr>
      <w:r w:rsidRPr="00A51745">
        <w:rPr>
          <w:rFonts w:ascii="Arial Narrow" w:hAnsi="Arial Narrow" w:cs="Arial"/>
          <w:bCs/>
          <w:szCs w:val="20"/>
        </w:rPr>
        <w:t xml:space="preserve">O processo de investimento </w:t>
      </w:r>
      <w:r w:rsidR="00174F45" w:rsidRPr="00A51745">
        <w:rPr>
          <w:rFonts w:ascii="Arial Narrow" w:hAnsi="Arial Narrow" w:cs="Arial"/>
          <w:bCs/>
          <w:szCs w:val="20"/>
        </w:rPr>
        <w:t xml:space="preserve">da </w:t>
      </w:r>
      <w:r w:rsidRPr="00A51745">
        <w:rPr>
          <w:rFonts w:ascii="Arial Narrow" w:hAnsi="Arial Narrow" w:cs="Arial"/>
          <w:bCs/>
          <w:szCs w:val="20"/>
        </w:rPr>
        <w:t xml:space="preserve">abrdn </w:t>
      </w:r>
      <w:r w:rsidR="00174F45" w:rsidRPr="00A51745">
        <w:rPr>
          <w:rFonts w:ascii="Arial Narrow" w:hAnsi="Arial Narrow" w:cs="Arial"/>
          <w:bCs/>
          <w:szCs w:val="20"/>
        </w:rPr>
        <w:t>envolve</w:t>
      </w:r>
      <w:r w:rsidRPr="00A51745">
        <w:rPr>
          <w:rFonts w:ascii="Arial Narrow" w:hAnsi="Arial Narrow" w:cs="Arial"/>
          <w:bCs/>
          <w:szCs w:val="20"/>
        </w:rPr>
        <w:t xml:space="preserve"> a avaliação dos riscos de sustentabilidade ao nível de cada investimento individual e das contrapartes aprovadas. Os métodos para avaliar esses riscos de sustentabilidade são os seguintes:</w:t>
      </w:r>
    </w:p>
    <w:p w14:paraId="32BBC8BA" w14:textId="77777777" w:rsidR="00822044" w:rsidRPr="00A51745" w:rsidRDefault="00822044" w:rsidP="00822044">
      <w:pPr>
        <w:spacing w:line="276" w:lineRule="auto"/>
        <w:ind w:left="360"/>
        <w:jc w:val="both"/>
        <w:rPr>
          <w:rFonts w:ascii="Arial Narrow" w:hAnsi="Arial Narrow" w:cs="Arial"/>
          <w:szCs w:val="20"/>
        </w:rPr>
      </w:pPr>
    </w:p>
    <w:p w14:paraId="4DC80F39" w14:textId="17404CB5" w:rsidR="00174F45" w:rsidRPr="00A51745" w:rsidRDefault="009B4CE4" w:rsidP="00822044">
      <w:pPr>
        <w:spacing w:line="276" w:lineRule="auto"/>
        <w:ind w:left="360"/>
        <w:jc w:val="both"/>
        <w:rPr>
          <w:rFonts w:ascii="Arial Narrow" w:hAnsi="Arial Narrow" w:cs="Arial"/>
          <w:szCs w:val="20"/>
        </w:rPr>
      </w:pPr>
      <w:r w:rsidRPr="007B0B9D">
        <w:rPr>
          <w:rFonts w:ascii="Arial Narrow" w:hAnsi="Arial Narrow" w:cs="Arial"/>
          <w:szCs w:val="20"/>
        </w:rPr>
        <w:t>P</w:t>
      </w:r>
      <w:r w:rsidR="00174F45" w:rsidRPr="007B0B9D">
        <w:rPr>
          <w:rFonts w:ascii="Arial Narrow" w:hAnsi="Arial Narrow" w:cs="Arial"/>
          <w:szCs w:val="20"/>
        </w:rPr>
        <w:t xml:space="preserve">esquisa </w:t>
      </w:r>
      <w:r w:rsidR="00496DF1" w:rsidRPr="007B0B9D">
        <w:rPr>
          <w:rFonts w:ascii="Arial Narrow" w:hAnsi="Arial Narrow" w:cs="Arial"/>
          <w:szCs w:val="20"/>
        </w:rPr>
        <w:t>exclusiva</w:t>
      </w:r>
      <w:r w:rsidRPr="007B0B9D">
        <w:rPr>
          <w:rFonts w:ascii="Arial Narrow" w:hAnsi="Arial Narrow" w:cs="Arial"/>
          <w:szCs w:val="20"/>
        </w:rPr>
        <w:t xml:space="preserve"> </w:t>
      </w:r>
      <w:r w:rsidR="00174F45" w:rsidRPr="007B0B9D">
        <w:rPr>
          <w:rFonts w:ascii="Arial Narrow" w:hAnsi="Arial Narrow" w:cs="Arial"/>
          <w:szCs w:val="20"/>
        </w:rPr>
        <w:t>para</w:t>
      </w:r>
      <w:r w:rsidR="00496DF1" w:rsidRPr="007B0B9D">
        <w:rPr>
          <w:rFonts w:ascii="Arial Narrow" w:hAnsi="Arial Narrow" w:cs="Arial"/>
          <w:szCs w:val="20"/>
        </w:rPr>
        <w:t xml:space="preserve"> enquadrar e</w:t>
      </w:r>
      <w:r w:rsidR="00174F45" w:rsidRPr="007B0B9D">
        <w:rPr>
          <w:rFonts w:ascii="Arial Narrow" w:hAnsi="Arial Narrow" w:cs="Arial"/>
          <w:szCs w:val="20"/>
        </w:rPr>
        <w:t xml:space="preserve"> identificar empresas que acreditamos serem líderes ou </w:t>
      </w:r>
      <w:r w:rsidRPr="007B0B9D">
        <w:rPr>
          <w:rFonts w:ascii="Arial Narrow" w:hAnsi="Arial Narrow" w:cs="Arial"/>
          <w:szCs w:val="20"/>
        </w:rPr>
        <w:t>aperfeiçoadoras</w:t>
      </w:r>
      <w:r w:rsidR="00174F45" w:rsidRPr="007B0B9D">
        <w:rPr>
          <w:rFonts w:ascii="Arial Narrow" w:hAnsi="Arial Narrow" w:cs="Arial"/>
          <w:szCs w:val="20"/>
        </w:rPr>
        <w:t xml:space="preserve"> sustentáveis (</w:t>
      </w:r>
      <w:r w:rsidRPr="007B0B9D">
        <w:rPr>
          <w:rFonts w:ascii="Arial Narrow" w:hAnsi="Arial Narrow" w:cs="Arial"/>
          <w:szCs w:val="20"/>
        </w:rPr>
        <w:t>Equities</w:t>
      </w:r>
      <w:r w:rsidR="00174F45" w:rsidRPr="007B0B9D">
        <w:rPr>
          <w:rFonts w:ascii="Arial Narrow" w:hAnsi="Arial Narrow" w:cs="Arial"/>
          <w:szCs w:val="20"/>
        </w:rPr>
        <w:t xml:space="preserve">): Analisamos os fundamentos de cada negócio para garantir o contexto adequado para nossos investimentos. Isso inclui a durabilidade de seu modelo de negócios, a atratividade de sua indústria, a solidez de suas finanças e a sustentabilidade de seu </w:t>
      </w:r>
      <w:r w:rsidRPr="007B0B9D">
        <w:rPr>
          <w:rFonts w:ascii="Arial Narrow" w:hAnsi="Arial Narrow" w:cs="Arial"/>
          <w:szCs w:val="20"/>
        </w:rPr>
        <w:t>canal</w:t>
      </w:r>
      <w:r w:rsidR="00174F45" w:rsidRPr="007B0B9D">
        <w:rPr>
          <w:rFonts w:ascii="Arial Narrow" w:hAnsi="Arial Narrow" w:cs="Arial"/>
          <w:szCs w:val="20"/>
        </w:rPr>
        <w:t xml:space="preserve"> econômico. Também consideramos a qualidade de sua equipe de gestão</w:t>
      </w:r>
      <w:r w:rsidRPr="007B0B9D">
        <w:rPr>
          <w:rFonts w:ascii="Arial Narrow" w:hAnsi="Arial Narrow" w:cs="Arial"/>
          <w:szCs w:val="20"/>
        </w:rPr>
        <w:t>,</w:t>
      </w:r>
      <w:r w:rsidR="00174F45" w:rsidRPr="007B0B9D">
        <w:rPr>
          <w:rFonts w:ascii="Arial Narrow" w:hAnsi="Arial Narrow" w:cs="Arial"/>
          <w:szCs w:val="20"/>
        </w:rPr>
        <w:t xml:space="preserve"> analisamos as oportunidades e</w:t>
      </w:r>
      <w:r w:rsidRPr="007B0B9D">
        <w:rPr>
          <w:rFonts w:ascii="Arial Narrow" w:hAnsi="Arial Narrow" w:cs="Arial"/>
          <w:szCs w:val="20"/>
        </w:rPr>
        <w:t>m</w:t>
      </w:r>
      <w:r w:rsidR="00174F45" w:rsidRPr="007B0B9D">
        <w:rPr>
          <w:rFonts w:ascii="Arial Narrow" w:hAnsi="Arial Narrow" w:cs="Arial"/>
          <w:szCs w:val="20"/>
        </w:rPr>
        <w:t xml:space="preserve"> riscos ambientais, sociais e de governança (ESG) que impactam os negócios e avaliamos </w:t>
      </w:r>
      <w:r w:rsidRPr="007B0B9D">
        <w:rPr>
          <w:rFonts w:ascii="Arial Narrow" w:hAnsi="Arial Narrow" w:cs="Arial"/>
          <w:szCs w:val="20"/>
        </w:rPr>
        <w:t>o quão bem</w:t>
      </w:r>
      <w:r w:rsidR="00174F45" w:rsidRPr="007B0B9D">
        <w:rPr>
          <w:rFonts w:ascii="Arial Narrow" w:hAnsi="Arial Narrow" w:cs="Arial"/>
          <w:szCs w:val="20"/>
        </w:rPr>
        <w:t xml:space="preserve"> são gerenciados. Atribuímos uma pontuação proprietária (1 indica líderes e 5 indica retardatários) para </w:t>
      </w:r>
      <w:r w:rsidRPr="007B0B9D">
        <w:rPr>
          <w:rFonts w:ascii="Arial Narrow" w:hAnsi="Arial Narrow" w:cs="Arial"/>
          <w:szCs w:val="20"/>
        </w:rPr>
        <w:t>estruturar</w:t>
      </w:r>
      <w:r w:rsidR="00174F45" w:rsidRPr="007B0B9D">
        <w:rPr>
          <w:rFonts w:ascii="Arial Narrow" w:hAnsi="Arial Narrow" w:cs="Arial"/>
          <w:szCs w:val="20"/>
        </w:rPr>
        <w:t xml:space="preserve"> os atributos de qualidade de cada empresa. As empresas elegíveis para inclusão em </w:t>
      </w:r>
      <w:r w:rsidRPr="007B0B9D">
        <w:rPr>
          <w:rFonts w:ascii="Arial Narrow" w:hAnsi="Arial Narrow" w:cs="Arial"/>
          <w:szCs w:val="20"/>
        </w:rPr>
        <w:t>nossas ações</w:t>
      </w:r>
      <w:r w:rsidR="00174F45" w:rsidRPr="007B0B9D">
        <w:rPr>
          <w:rFonts w:ascii="Arial Narrow" w:hAnsi="Arial Narrow" w:cs="Arial"/>
          <w:szCs w:val="20"/>
        </w:rPr>
        <w:t xml:space="preserve"> SRI devem ter classificação 3 ou superior em Qualidade geral e Qualidade ESG.</w:t>
      </w:r>
    </w:p>
    <w:p w14:paraId="34C64732" w14:textId="77777777" w:rsidR="00822044" w:rsidRPr="007B0B9D" w:rsidRDefault="00822044" w:rsidP="00822044">
      <w:pPr>
        <w:spacing w:line="276" w:lineRule="auto"/>
        <w:ind w:left="360"/>
        <w:jc w:val="both"/>
        <w:rPr>
          <w:rFonts w:ascii="Arial Narrow" w:hAnsi="Arial Narrow" w:cs="Arial"/>
          <w:szCs w:val="20"/>
        </w:rPr>
      </w:pPr>
    </w:p>
    <w:p w14:paraId="417CF054" w14:textId="256CBEBD" w:rsidR="00822044" w:rsidRDefault="009B4CE4" w:rsidP="00822044">
      <w:pPr>
        <w:spacing w:line="276" w:lineRule="auto"/>
        <w:jc w:val="both"/>
        <w:rPr>
          <w:rFonts w:ascii="Arial Narrow" w:hAnsi="Arial Narrow" w:cs="Arial"/>
          <w:szCs w:val="20"/>
        </w:rPr>
      </w:pPr>
      <w:r w:rsidRPr="007B0B9D">
        <w:rPr>
          <w:rFonts w:ascii="Arial Narrow" w:hAnsi="Arial Narrow" w:cs="Arial"/>
          <w:szCs w:val="20"/>
        </w:rPr>
        <w:t xml:space="preserve">Estrutura e Classificação de Risco ESG (somente Renda Fixa): Esta é uma ferramenta </w:t>
      </w:r>
      <w:r w:rsidR="00496DF1" w:rsidRPr="007B0B9D">
        <w:rPr>
          <w:rFonts w:ascii="Arial Narrow" w:hAnsi="Arial Narrow" w:cs="Arial"/>
          <w:szCs w:val="20"/>
        </w:rPr>
        <w:t xml:space="preserve">exclusiva </w:t>
      </w:r>
      <w:r w:rsidRPr="007B0B9D">
        <w:rPr>
          <w:rFonts w:ascii="Arial Narrow" w:hAnsi="Arial Narrow" w:cs="Arial"/>
          <w:szCs w:val="20"/>
        </w:rPr>
        <w:t>projetada para ajudar a concentrar o conhecimento e a experiência que temos de forma sistemática para fundamentar a Classificação de Risco ESG geral (baixo/médio/alto) atribuída a emissores de dívida</w:t>
      </w:r>
      <w:r w:rsidRPr="00A51745">
        <w:rPr>
          <w:rStyle w:val="q4iawc"/>
          <w:rFonts w:ascii="Arial Narrow" w:hAnsi="Arial Narrow"/>
          <w:sz w:val="27"/>
          <w:szCs w:val="27"/>
          <w:shd w:val="clear" w:color="auto" w:fill="D2E3FC"/>
        </w:rPr>
        <w:t>,</w:t>
      </w:r>
      <w:r w:rsidRPr="007B0B9D">
        <w:rPr>
          <w:rFonts w:ascii="Arial Narrow" w:hAnsi="Arial Narrow" w:cs="Arial"/>
          <w:szCs w:val="20"/>
        </w:rPr>
        <w:t xml:space="preserve"> sendo baix</w:t>
      </w:r>
      <w:r w:rsidR="00496DF1" w:rsidRPr="007B0B9D">
        <w:rPr>
          <w:rFonts w:ascii="Arial Narrow" w:hAnsi="Arial Narrow" w:cs="Arial"/>
          <w:szCs w:val="20"/>
        </w:rPr>
        <w:t>a</w:t>
      </w:r>
      <w:r w:rsidRPr="007B0B9D">
        <w:rPr>
          <w:rFonts w:ascii="Arial Narrow" w:hAnsi="Arial Narrow" w:cs="Arial"/>
          <w:szCs w:val="20"/>
        </w:rPr>
        <w:t xml:space="preserve"> a melhor pontuação. O foco principal é a materialidade dos riscos Ambientais e Sociais inerentes ao setor de atuação e como empresas específicas gerenciam esses riscos, aliada à qualidade e sustentabilidade de sua governança corporativa</w:t>
      </w:r>
      <w:r w:rsidRPr="00A51745">
        <w:rPr>
          <w:rStyle w:val="q4iawc"/>
          <w:rFonts w:ascii="Arial Narrow" w:hAnsi="Arial Narrow"/>
          <w:sz w:val="27"/>
          <w:szCs w:val="27"/>
          <w:shd w:val="clear" w:color="auto" w:fill="F5F5F5"/>
        </w:rPr>
        <w:t>.</w:t>
      </w:r>
      <w:r w:rsidRPr="00A51745">
        <w:rPr>
          <w:rFonts w:ascii="Arial Narrow" w:hAnsi="Arial Narrow"/>
          <w:sz w:val="27"/>
          <w:szCs w:val="27"/>
          <w:shd w:val="clear" w:color="auto" w:fill="F5F5F5"/>
        </w:rPr>
        <w:t xml:space="preserve"> </w:t>
      </w:r>
      <w:r w:rsidRPr="007B0B9D">
        <w:rPr>
          <w:rFonts w:ascii="Arial Narrow" w:hAnsi="Arial Narrow" w:cs="Arial"/>
          <w:szCs w:val="20"/>
        </w:rPr>
        <w:t>Essa avaliação de materialidade é combinada com um julgamento sobre o prazo em que esses riscos ESG podem ter impacto. Nossas estratégias de títulos SRI excluem empresas com classificação de risco ESG “Alta”.</w:t>
      </w:r>
    </w:p>
    <w:p w14:paraId="57DE0D99" w14:textId="77777777" w:rsidR="007B0B9D" w:rsidRPr="00A51745" w:rsidRDefault="007B0B9D" w:rsidP="00822044">
      <w:pPr>
        <w:spacing w:line="276" w:lineRule="auto"/>
        <w:jc w:val="both"/>
        <w:rPr>
          <w:rFonts w:ascii="Arial Narrow" w:hAnsi="Arial Narrow" w:cs="Arial"/>
          <w:szCs w:val="20"/>
        </w:rPr>
      </w:pPr>
    </w:p>
    <w:p w14:paraId="729C9097" w14:textId="1F44AAC2" w:rsidR="00822044" w:rsidRDefault="00C10DBE" w:rsidP="007B0B9D">
      <w:pPr>
        <w:spacing w:line="276" w:lineRule="auto"/>
        <w:jc w:val="both"/>
        <w:rPr>
          <w:rFonts w:ascii="Arial Narrow" w:hAnsi="Arial Narrow" w:cs="Arial"/>
          <w:szCs w:val="20"/>
        </w:rPr>
      </w:pPr>
      <w:r w:rsidRPr="007B0B9D">
        <w:rPr>
          <w:rFonts w:ascii="Arial Narrow" w:hAnsi="Arial Narrow" w:cs="Arial"/>
          <w:szCs w:val="20"/>
        </w:rPr>
        <w:t xml:space="preserve">ESG </w:t>
      </w:r>
      <w:proofErr w:type="spellStart"/>
      <w:r w:rsidRPr="007B0B9D">
        <w:rPr>
          <w:rFonts w:ascii="Arial Narrow" w:hAnsi="Arial Narrow" w:cs="Arial"/>
          <w:szCs w:val="20"/>
        </w:rPr>
        <w:t>House</w:t>
      </w:r>
      <w:proofErr w:type="spellEnd"/>
      <w:r w:rsidRPr="007B0B9D">
        <w:rPr>
          <w:rFonts w:ascii="Arial Narrow" w:hAnsi="Arial Narrow" w:cs="Arial"/>
          <w:szCs w:val="20"/>
        </w:rPr>
        <w:t xml:space="preserve"> Score: Usamos noss</w:t>
      </w:r>
      <w:r w:rsidR="00654E03" w:rsidRPr="007B0B9D">
        <w:rPr>
          <w:rFonts w:ascii="Arial Narrow" w:hAnsi="Arial Narrow" w:cs="Arial"/>
          <w:szCs w:val="20"/>
        </w:rPr>
        <w:t xml:space="preserve">a exclusiva pontuação </w:t>
      </w:r>
      <w:r w:rsidRPr="007B0B9D">
        <w:rPr>
          <w:rFonts w:ascii="Arial Narrow" w:hAnsi="Arial Narrow" w:cs="Arial"/>
          <w:szCs w:val="20"/>
        </w:rPr>
        <w:t>ESG, desenvolvido por nossa equipe central de investimentos em ESG, para identificar empresas com riscos ESG potencialmente altos ou mal gerenciados. A</w:t>
      </w:r>
      <w:r w:rsidRPr="007B0B9D">
        <w:rPr>
          <w:rFonts w:cs="Arial"/>
          <w:szCs w:val="20"/>
        </w:rPr>
        <w:t xml:space="preserve"> </w:t>
      </w:r>
      <w:r w:rsidRPr="007B0B9D">
        <w:rPr>
          <w:rFonts w:ascii="Arial Narrow" w:hAnsi="Arial Narrow" w:cs="Arial"/>
          <w:szCs w:val="20"/>
        </w:rPr>
        <w:t xml:space="preserve">pontuação é calculada combinando uma variedade de dados dentro de uma estrutura proprietária na qual os diferentes fatores ESG são </w:t>
      </w:r>
      <w:r w:rsidRPr="007B0B9D">
        <w:rPr>
          <w:rFonts w:ascii="Arial Narrow" w:hAnsi="Arial Narrow" w:cs="Arial"/>
          <w:szCs w:val="20"/>
        </w:rPr>
        <w:lastRenderedPageBreak/>
        <w:t xml:space="preserve">ponderados de acordo com a sua relevância para cada setor. Isso nos permite ver como as empresas se classificam em um contexto global. Nossas estratégias de ações SRI excluem empresas com os maiores riscos ESG, conforme identificado pelo ESG </w:t>
      </w:r>
      <w:proofErr w:type="spellStart"/>
      <w:r w:rsidRPr="007B0B9D">
        <w:rPr>
          <w:rFonts w:ascii="Arial Narrow" w:hAnsi="Arial Narrow" w:cs="Arial"/>
          <w:szCs w:val="20"/>
        </w:rPr>
        <w:t>House</w:t>
      </w:r>
      <w:proofErr w:type="spellEnd"/>
      <w:r w:rsidRPr="007B0B9D">
        <w:rPr>
          <w:rFonts w:ascii="Arial Narrow" w:hAnsi="Arial Narrow" w:cs="Arial"/>
          <w:szCs w:val="20"/>
        </w:rPr>
        <w:t xml:space="preserve"> Score, em setores identificados como de médio ou alto risco por nossa equipe central de investimentos ESG. Quando um investimento incluído em um Fundo SRI fica abaixo do nosso limite, estabelecemos um período de revisão de três meses para determinar um resultado apropriado.</w:t>
      </w:r>
    </w:p>
    <w:p w14:paraId="28579105" w14:textId="77777777" w:rsidR="00A51745" w:rsidRPr="00A51745" w:rsidRDefault="00A51745" w:rsidP="00822044">
      <w:pPr>
        <w:spacing w:line="276" w:lineRule="auto"/>
        <w:ind w:left="360"/>
        <w:jc w:val="both"/>
        <w:rPr>
          <w:rFonts w:ascii="Arial Narrow" w:hAnsi="Arial Narrow" w:cs="Arial"/>
          <w:szCs w:val="20"/>
        </w:rPr>
      </w:pPr>
    </w:p>
    <w:p w14:paraId="64F6AAEA" w14:textId="038C5199" w:rsidR="00822044" w:rsidRPr="007B0B9D" w:rsidRDefault="00654E03" w:rsidP="00135853">
      <w:pPr>
        <w:pStyle w:val="ListParagraph"/>
        <w:tabs>
          <w:tab w:val="left" w:pos="284"/>
        </w:tabs>
        <w:spacing w:after="0" w:line="240" w:lineRule="auto"/>
        <w:ind w:left="0"/>
        <w:jc w:val="both"/>
        <w:rPr>
          <w:rFonts w:ascii="Arial Narrow" w:hAnsi="Arial Narrow" w:cs="Arial"/>
          <w:szCs w:val="20"/>
          <w:lang w:eastAsia="en-US"/>
        </w:rPr>
      </w:pPr>
      <w:r w:rsidRPr="007B0B9D">
        <w:rPr>
          <w:rFonts w:ascii="Arial Narrow" w:hAnsi="Arial Narrow" w:cs="Arial"/>
          <w:szCs w:val="20"/>
          <w:lang w:eastAsia="en-US"/>
        </w:rPr>
        <w:t xml:space="preserve">Triagem negativa: Isso é aplicável apenas para portfólios de SRI e visa identificar líderes sustentáveis e </w:t>
      </w:r>
      <w:r w:rsidR="00321B6A" w:rsidRPr="007B0B9D">
        <w:rPr>
          <w:rFonts w:ascii="Arial Narrow" w:hAnsi="Arial Narrow" w:cs="Arial"/>
          <w:szCs w:val="20"/>
          <w:lang w:eastAsia="en-US"/>
        </w:rPr>
        <w:t>aperfeiçoadores</w:t>
      </w:r>
      <w:r w:rsidRPr="007B0B9D">
        <w:rPr>
          <w:rFonts w:ascii="Arial Narrow" w:hAnsi="Arial Narrow" w:cs="Arial"/>
          <w:szCs w:val="20"/>
          <w:lang w:eastAsia="en-US"/>
        </w:rPr>
        <w:t xml:space="preserve"> por meio de estudo de base  de baixo para cima. Além disso, são aplicadas exclusões binárias baseadas em normas.</w:t>
      </w:r>
      <w:bookmarkEnd w:id="6"/>
    </w:p>
    <w:p w14:paraId="52647123" w14:textId="77777777" w:rsidR="00822044" w:rsidRPr="00A51745" w:rsidRDefault="00822044" w:rsidP="00135853">
      <w:pPr>
        <w:pStyle w:val="ListParagraph"/>
        <w:tabs>
          <w:tab w:val="left" w:pos="284"/>
        </w:tabs>
        <w:spacing w:after="0" w:line="240" w:lineRule="auto"/>
        <w:ind w:left="0"/>
        <w:jc w:val="both"/>
        <w:rPr>
          <w:rFonts w:ascii="Arial Narrow" w:hAnsi="Arial Narrow"/>
          <w:b/>
          <w:bCs/>
        </w:rPr>
      </w:pPr>
    </w:p>
    <w:p w14:paraId="7E8A344F" w14:textId="505F3362" w:rsidR="00135853" w:rsidRPr="00A51745" w:rsidRDefault="00135853" w:rsidP="00135853">
      <w:pPr>
        <w:pStyle w:val="ListParagraph"/>
        <w:tabs>
          <w:tab w:val="left" w:pos="284"/>
        </w:tabs>
        <w:spacing w:after="0" w:line="240" w:lineRule="auto"/>
        <w:ind w:left="0"/>
        <w:jc w:val="both"/>
        <w:rPr>
          <w:rFonts w:ascii="Arial Narrow" w:hAnsi="Arial Narrow"/>
          <w:b/>
          <w:bCs/>
        </w:rPr>
      </w:pPr>
      <w:r w:rsidRPr="00A51745">
        <w:rPr>
          <w:rFonts w:ascii="Arial Narrow" w:hAnsi="Arial Narrow"/>
          <w:b/>
          <w:bCs/>
        </w:rPr>
        <w:t>Risco Operacional</w:t>
      </w:r>
      <w:r w:rsidR="00E35AA5" w:rsidRPr="00A51745">
        <w:rPr>
          <w:rFonts w:ascii="Arial Narrow" w:hAnsi="Arial Narrow"/>
          <w:b/>
          <w:bCs/>
        </w:rPr>
        <w:t xml:space="preserve"> </w:t>
      </w:r>
    </w:p>
    <w:p w14:paraId="1705C5C5" w14:textId="4B001560" w:rsidR="00135853" w:rsidRPr="00A51745" w:rsidRDefault="00135853" w:rsidP="00135853">
      <w:pPr>
        <w:tabs>
          <w:tab w:val="left" w:pos="284"/>
        </w:tabs>
        <w:jc w:val="both"/>
        <w:rPr>
          <w:rFonts w:ascii="Arial Narrow" w:hAnsi="Arial Narrow"/>
        </w:rPr>
      </w:pPr>
      <w:r w:rsidRPr="00A51745">
        <w:rPr>
          <w:rFonts w:ascii="Arial Narrow" w:hAnsi="Arial Narrow"/>
        </w:rPr>
        <w:t xml:space="preserve">A </w:t>
      </w:r>
      <w:r w:rsidR="00AC2442" w:rsidRPr="00A51745">
        <w:rPr>
          <w:rFonts w:ascii="Arial Narrow" w:hAnsi="Arial Narrow"/>
        </w:rPr>
        <w:t>abrdn</w:t>
      </w:r>
      <w:r w:rsidR="009C7DE2" w:rsidRPr="00A51745">
        <w:rPr>
          <w:rFonts w:ascii="Arial Narrow" w:hAnsi="Arial Narrow"/>
        </w:rPr>
        <w:t xml:space="preserve"> Brasil</w:t>
      </w:r>
      <w:r w:rsidRPr="00A51745">
        <w:rPr>
          <w:rFonts w:ascii="Arial Narrow" w:hAnsi="Arial Narrow"/>
        </w:rPr>
        <w:t xml:space="preserve"> adota a Estrutura de Risco Operacional do Grupo. A </w:t>
      </w:r>
      <w:r w:rsidR="00AC2442" w:rsidRPr="00A51745">
        <w:rPr>
          <w:rFonts w:ascii="Arial Narrow" w:hAnsi="Arial Narrow"/>
        </w:rPr>
        <w:t>abrdn</w:t>
      </w:r>
      <w:r w:rsidR="009C7DE2" w:rsidRPr="00A51745">
        <w:rPr>
          <w:rFonts w:ascii="Arial Narrow" w:hAnsi="Arial Narrow"/>
        </w:rPr>
        <w:t xml:space="preserve"> Brasil possui o suporte da </w:t>
      </w:r>
      <w:r w:rsidRPr="00A51745">
        <w:rPr>
          <w:rFonts w:ascii="Arial Narrow" w:hAnsi="Arial Narrow"/>
        </w:rPr>
        <w:t xml:space="preserve"> equipe de Risco Operacional sediada nos EUA. </w:t>
      </w:r>
    </w:p>
    <w:p w14:paraId="5380CED6" w14:textId="77777777" w:rsidR="00135853" w:rsidRPr="00A51745" w:rsidRDefault="00135853" w:rsidP="00135853">
      <w:pPr>
        <w:tabs>
          <w:tab w:val="left" w:pos="284"/>
        </w:tabs>
        <w:jc w:val="both"/>
        <w:rPr>
          <w:rFonts w:ascii="Arial Narrow" w:hAnsi="Arial Narrow"/>
        </w:rPr>
      </w:pPr>
    </w:p>
    <w:p w14:paraId="0F8BD165" w14:textId="1EDF4C20" w:rsidR="00135853" w:rsidRPr="00A51745" w:rsidRDefault="00135853" w:rsidP="00356520">
      <w:pPr>
        <w:pStyle w:val="Default"/>
        <w:tabs>
          <w:tab w:val="left" w:pos="284"/>
        </w:tabs>
        <w:jc w:val="both"/>
        <w:rPr>
          <w:rFonts w:ascii="Arial Narrow" w:hAnsi="Arial Narrow" w:cs="Times New Roman"/>
          <w:color w:val="auto"/>
          <w:sz w:val="22"/>
          <w:szCs w:val="22"/>
          <w:lang w:eastAsia="en-US"/>
        </w:rPr>
      </w:pPr>
      <w:r w:rsidRPr="00A51745">
        <w:rPr>
          <w:rFonts w:ascii="Arial Narrow" w:hAnsi="Arial Narrow" w:cs="Times New Roman"/>
          <w:color w:val="auto"/>
          <w:sz w:val="22"/>
          <w:szCs w:val="22"/>
          <w:lang w:eastAsia="en-US"/>
        </w:rPr>
        <w:t xml:space="preserve">A equipe de Risco Operacional (Américas) é responsável pela concepção e implementação bem-sucedida da Estrutura de Risco Operacional para garantir que os riscos para a </w:t>
      </w:r>
      <w:r w:rsidR="007E73B3" w:rsidRPr="00A51745">
        <w:rPr>
          <w:rFonts w:ascii="Arial Narrow" w:hAnsi="Arial Narrow" w:cs="Times New Roman"/>
          <w:color w:val="auto"/>
          <w:sz w:val="22"/>
          <w:szCs w:val="22"/>
          <w:lang w:eastAsia="en-US"/>
        </w:rPr>
        <w:t>abrdn</w:t>
      </w:r>
      <w:r w:rsidRPr="00A51745">
        <w:rPr>
          <w:rFonts w:ascii="Arial Narrow" w:hAnsi="Arial Narrow" w:cs="Times New Roman"/>
          <w:color w:val="auto"/>
          <w:sz w:val="22"/>
          <w:szCs w:val="22"/>
          <w:lang w:eastAsia="en-US"/>
        </w:rPr>
        <w:t xml:space="preserve"> sejam efetivamente identificados, avaliados e geridos. Como parte dessa estrutura, os riscos operacionais são avaliados e geridos para portfólios geridos por entidades da </w:t>
      </w:r>
      <w:r w:rsidR="007E73B3" w:rsidRPr="00A51745">
        <w:rPr>
          <w:rFonts w:ascii="Arial Narrow" w:hAnsi="Arial Narrow" w:cs="Times New Roman"/>
          <w:color w:val="auto"/>
          <w:sz w:val="22"/>
          <w:szCs w:val="22"/>
          <w:lang w:eastAsia="en-US"/>
        </w:rPr>
        <w:t>abrdn</w:t>
      </w:r>
      <w:r w:rsidRPr="00A51745">
        <w:rPr>
          <w:rFonts w:ascii="Arial Narrow" w:hAnsi="Arial Narrow" w:cs="Times New Roman"/>
          <w:color w:val="auto"/>
          <w:sz w:val="22"/>
          <w:szCs w:val="22"/>
          <w:lang w:eastAsia="en-US"/>
        </w:rPr>
        <w:t xml:space="preserve"> </w:t>
      </w:r>
      <w:proofErr w:type="spellStart"/>
      <w:r w:rsidRPr="00A51745">
        <w:rPr>
          <w:rFonts w:ascii="Arial Narrow" w:hAnsi="Arial Narrow" w:cs="Times New Roman"/>
          <w:color w:val="auto"/>
          <w:sz w:val="22"/>
          <w:szCs w:val="22"/>
          <w:lang w:eastAsia="en-US"/>
        </w:rPr>
        <w:t>Americas</w:t>
      </w:r>
      <w:proofErr w:type="spellEnd"/>
      <w:r w:rsidRPr="00A51745">
        <w:rPr>
          <w:rFonts w:ascii="Arial Narrow" w:hAnsi="Arial Narrow" w:cs="Times New Roman"/>
          <w:color w:val="auto"/>
          <w:sz w:val="22"/>
          <w:szCs w:val="22"/>
          <w:lang w:eastAsia="en-US"/>
        </w:rPr>
        <w:t>.</w:t>
      </w:r>
    </w:p>
    <w:p w14:paraId="01ECC784" w14:textId="77777777" w:rsidR="00135853" w:rsidRPr="00A51745" w:rsidRDefault="00135853" w:rsidP="00135853">
      <w:pPr>
        <w:tabs>
          <w:tab w:val="left" w:pos="284"/>
        </w:tabs>
        <w:jc w:val="both"/>
        <w:rPr>
          <w:rFonts w:ascii="Arial Narrow" w:hAnsi="Arial Narrow"/>
        </w:rPr>
      </w:pPr>
    </w:p>
    <w:p w14:paraId="73AED2CA" w14:textId="77777777" w:rsidR="00135853" w:rsidRPr="00A51745" w:rsidRDefault="00135853" w:rsidP="00135853">
      <w:pPr>
        <w:tabs>
          <w:tab w:val="left" w:pos="284"/>
        </w:tabs>
        <w:jc w:val="both"/>
        <w:rPr>
          <w:rFonts w:ascii="Arial Narrow" w:hAnsi="Arial Narrow"/>
        </w:rPr>
      </w:pPr>
      <w:r w:rsidRPr="00A51745">
        <w:rPr>
          <w:rFonts w:ascii="Arial Narrow" w:hAnsi="Arial Narrow"/>
        </w:rPr>
        <w:t>Os processos e sistemas utilizados em conexão com tal função abrangem os seguintes módulos:</w:t>
      </w:r>
    </w:p>
    <w:p w14:paraId="14D9864D" w14:textId="77777777" w:rsidR="00135853" w:rsidRPr="00A51745" w:rsidRDefault="00135853" w:rsidP="00135853">
      <w:pPr>
        <w:tabs>
          <w:tab w:val="left" w:pos="284"/>
        </w:tabs>
        <w:jc w:val="both"/>
        <w:rPr>
          <w:rFonts w:ascii="Arial Narrow" w:hAnsi="Arial Narrow"/>
        </w:rPr>
      </w:pPr>
    </w:p>
    <w:p w14:paraId="7801E633" w14:textId="25A2098A" w:rsidR="00135853" w:rsidRPr="00A51745" w:rsidRDefault="00135853" w:rsidP="00356520">
      <w:pPr>
        <w:pStyle w:val="ListParagraph"/>
        <w:numPr>
          <w:ilvl w:val="0"/>
          <w:numId w:val="32"/>
        </w:numPr>
        <w:spacing w:after="120"/>
        <w:jc w:val="both"/>
        <w:rPr>
          <w:rFonts w:ascii="Arial Narrow" w:hAnsi="Arial Narrow"/>
          <w:lang w:val="en-US"/>
        </w:rPr>
      </w:pPr>
      <w:r w:rsidRPr="00A51745">
        <w:rPr>
          <w:rFonts w:ascii="Arial Narrow" w:hAnsi="Arial Narrow"/>
          <w:lang w:val="en-US"/>
        </w:rPr>
        <w:t xml:space="preserve">RCSA - </w:t>
      </w:r>
      <w:r w:rsidR="00C03B21" w:rsidRPr="00A51745">
        <w:rPr>
          <w:rFonts w:ascii="Arial Narrow" w:hAnsi="Arial Narrow"/>
          <w:lang w:val="en-US"/>
        </w:rPr>
        <w:t>Risk and Control Self-Assessment (RCSA)</w:t>
      </w:r>
    </w:p>
    <w:p w14:paraId="1D55CE78" w14:textId="137594D2" w:rsidR="0050716B" w:rsidRPr="00A51745" w:rsidRDefault="0050716B" w:rsidP="00356520">
      <w:pPr>
        <w:pStyle w:val="ListParagraph"/>
        <w:numPr>
          <w:ilvl w:val="0"/>
          <w:numId w:val="37"/>
        </w:numPr>
        <w:tabs>
          <w:tab w:val="left" w:pos="567"/>
        </w:tabs>
        <w:spacing w:after="0" w:line="240" w:lineRule="auto"/>
        <w:ind w:left="1134"/>
        <w:jc w:val="both"/>
        <w:rPr>
          <w:rFonts w:ascii="Arial Narrow" w:hAnsi="Arial Narrow"/>
        </w:rPr>
      </w:pPr>
      <w:r w:rsidRPr="00A51745">
        <w:rPr>
          <w:rFonts w:ascii="Arial Narrow" w:hAnsi="Arial Narrow"/>
        </w:rPr>
        <w:t>O processo fornece um meio sistemático de identificar lacunas de risco e controle que ameaçam a consecução dos objetivos de negócios ou processos e monitorar o que a gerência está fazendo para fechar</w:t>
      </w:r>
      <w:r w:rsidR="00C03B21" w:rsidRPr="00A51745">
        <w:rPr>
          <w:rFonts w:ascii="Arial Narrow" w:hAnsi="Arial Narrow"/>
        </w:rPr>
        <w:t xml:space="preserve"> </w:t>
      </w:r>
      <w:r w:rsidRPr="00A51745">
        <w:rPr>
          <w:rFonts w:ascii="Arial Narrow" w:hAnsi="Arial Narrow"/>
        </w:rPr>
        <w:t>essas lacunas.</w:t>
      </w:r>
    </w:p>
    <w:p w14:paraId="7BE93580" w14:textId="77777777" w:rsidR="00135853" w:rsidRPr="00A51745" w:rsidRDefault="00135853" w:rsidP="00135853">
      <w:pPr>
        <w:tabs>
          <w:tab w:val="left" w:pos="360"/>
        </w:tabs>
        <w:ind w:left="360" w:hanging="270"/>
        <w:jc w:val="both"/>
        <w:rPr>
          <w:rFonts w:ascii="Arial Narrow" w:hAnsi="Arial Narrow"/>
        </w:rPr>
      </w:pPr>
    </w:p>
    <w:p w14:paraId="3CB65CD2" w14:textId="3B157180" w:rsidR="00135853" w:rsidRPr="00A51745" w:rsidRDefault="00135853" w:rsidP="00356520">
      <w:pPr>
        <w:pStyle w:val="ListParagraph"/>
        <w:numPr>
          <w:ilvl w:val="0"/>
          <w:numId w:val="32"/>
        </w:numPr>
        <w:spacing w:after="120"/>
        <w:jc w:val="both"/>
        <w:rPr>
          <w:rFonts w:ascii="Arial Narrow" w:hAnsi="Arial Narrow"/>
        </w:rPr>
      </w:pPr>
      <w:r w:rsidRPr="00A51745">
        <w:rPr>
          <w:rFonts w:ascii="Arial Narrow" w:hAnsi="Arial Narrow"/>
        </w:rPr>
        <w:t xml:space="preserve">Eventos de Risco - Um processo para documentar, investigar, resolver e comunicar a materialização de riscos que também constitui a base mais relevante para a análise e resposta da </w:t>
      </w:r>
      <w:r w:rsidR="009A24B2" w:rsidRPr="00A51745">
        <w:rPr>
          <w:rFonts w:ascii="Arial Narrow" w:hAnsi="Arial Narrow"/>
        </w:rPr>
        <w:t xml:space="preserve">administração </w:t>
      </w:r>
      <w:r w:rsidRPr="00A51745">
        <w:rPr>
          <w:rFonts w:ascii="Arial Narrow" w:hAnsi="Arial Narrow"/>
        </w:rPr>
        <w:t>(precisa estar associado a um controle-chave específico).</w:t>
      </w:r>
    </w:p>
    <w:p w14:paraId="3B13BEBA" w14:textId="77777777" w:rsidR="00135853" w:rsidRPr="00A51745" w:rsidRDefault="00135853" w:rsidP="00135853">
      <w:pPr>
        <w:tabs>
          <w:tab w:val="left" w:pos="360"/>
        </w:tabs>
        <w:ind w:left="360" w:hanging="270"/>
        <w:jc w:val="both"/>
        <w:rPr>
          <w:rFonts w:ascii="Arial Narrow" w:hAnsi="Arial Narrow"/>
          <w:sz w:val="16"/>
          <w:szCs w:val="16"/>
        </w:rPr>
      </w:pPr>
    </w:p>
    <w:p w14:paraId="7F88C89F" w14:textId="40B007C7" w:rsidR="00135853" w:rsidRPr="00A51745" w:rsidRDefault="00135853" w:rsidP="00356520">
      <w:pPr>
        <w:pStyle w:val="ListParagraph"/>
        <w:numPr>
          <w:ilvl w:val="0"/>
          <w:numId w:val="32"/>
        </w:numPr>
        <w:spacing w:after="120"/>
        <w:jc w:val="both"/>
        <w:rPr>
          <w:rFonts w:ascii="Arial Narrow" w:hAnsi="Arial Narrow"/>
        </w:rPr>
      </w:pPr>
      <w:r w:rsidRPr="00A51745">
        <w:rPr>
          <w:rFonts w:ascii="Arial Narrow" w:hAnsi="Arial Narrow"/>
        </w:rPr>
        <w:t xml:space="preserve">Problema/Ação - Uma estrutura para identificar, priorizar, classificar, </w:t>
      </w:r>
      <w:r w:rsidR="009A24B2" w:rsidRPr="00A51745">
        <w:rPr>
          <w:rFonts w:ascii="Arial Narrow" w:hAnsi="Arial Narrow"/>
        </w:rPr>
        <w:t xml:space="preserve">escalonar </w:t>
      </w:r>
      <w:r w:rsidRPr="00A51745">
        <w:rPr>
          <w:rFonts w:ascii="Arial Narrow" w:hAnsi="Arial Narrow"/>
        </w:rPr>
        <w:t>e registrar Problemas de Risco e Ações associadas.</w:t>
      </w:r>
    </w:p>
    <w:p w14:paraId="45AF3BF1" w14:textId="46F6AAF9" w:rsidR="00135853" w:rsidRPr="00A51745" w:rsidRDefault="009A24B2" w:rsidP="00356520">
      <w:pPr>
        <w:pStyle w:val="ListParagraph"/>
        <w:numPr>
          <w:ilvl w:val="0"/>
          <w:numId w:val="32"/>
        </w:numPr>
        <w:spacing w:after="120"/>
        <w:jc w:val="both"/>
        <w:rPr>
          <w:rFonts w:ascii="Arial Narrow" w:hAnsi="Arial Narrow"/>
        </w:rPr>
      </w:pPr>
      <w:r w:rsidRPr="00A51745">
        <w:rPr>
          <w:rFonts w:ascii="Arial Narrow" w:hAnsi="Arial Narrow"/>
        </w:rPr>
        <w:t xml:space="preserve">Principais </w:t>
      </w:r>
      <w:r w:rsidR="00135853" w:rsidRPr="00A51745">
        <w:rPr>
          <w:rFonts w:ascii="Arial Narrow" w:hAnsi="Arial Narrow"/>
        </w:rPr>
        <w:t>Indicadores</w:t>
      </w:r>
      <w:r w:rsidRPr="00A51745">
        <w:rPr>
          <w:rFonts w:ascii="Arial Narrow" w:hAnsi="Arial Narrow"/>
        </w:rPr>
        <w:t xml:space="preserve"> </w:t>
      </w:r>
      <w:r w:rsidR="00135853" w:rsidRPr="00A51745">
        <w:rPr>
          <w:rFonts w:ascii="Arial Narrow" w:hAnsi="Arial Narrow"/>
        </w:rPr>
        <w:t xml:space="preserve">- Facilitar a utilização dos </w:t>
      </w:r>
      <w:r w:rsidRPr="00A51745">
        <w:rPr>
          <w:rFonts w:ascii="Arial Narrow" w:hAnsi="Arial Narrow"/>
        </w:rPr>
        <w:t xml:space="preserve">principais </w:t>
      </w:r>
      <w:r w:rsidR="00135853" w:rsidRPr="00A51745">
        <w:rPr>
          <w:rFonts w:ascii="Arial Narrow" w:hAnsi="Arial Narrow"/>
        </w:rPr>
        <w:t>indicadores</w:t>
      </w:r>
      <w:r w:rsidRPr="00A51745">
        <w:rPr>
          <w:rFonts w:ascii="Arial Narrow" w:hAnsi="Arial Narrow"/>
        </w:rPr>
        <w:t xml:space="preserve"> </w:t>
      </w:r>
      <w:r w:rsidR="00135853" w:rsidRPr="00A51745">
        <w:rPr>
          <w:rFonts w:ascii="Arial Narrow" w:hAnsi="Arial Narrow"/>
        </w:rPr>
        <w:t>(Risco e Desempenho) para apoiar a Avaliação e monitoramento dos Riscos.</w:t>
      </w:r>
    </w:p>
    <w:p w14:paraId="6E9B6976" w14:textId="77777777" w:rsidR="00135853" w:rsidRPr="00A51745" w:rsidRDefault="00135853" w:rsidP="00356520">
      <w:pPr>
        <w:pStyle w:val="ListParagraph"/>
        <w:spacing w:after="120"/>
        <w:jc w:val="both"/>
        <w:rPr>
          <w:rFonts w:ascii="Arial Narrow" w:hAnsi="Arial Narrow"/>
        </w:rPr>
      </w:pPr>
    </w:p>
    <w:p w14:paraId="5B29B6B2" w14:textId="53960625" w:rsidR="00135853" w:rsidRPr="00A51745" w:rsidRDefault="00135853" w:rsidP="00356520">
      <w:pPr>
        <w:pStyle w:val="ListParagraph"/>
        <w:numPr>
          <w:ilvl w:val="0"/>
          <w:numId w:val="32"/>
        </w:numPr>
        <w:spacing w:after="120"/>
        <w:jc w:val="both"/>
        <w:rPr>
          <w:rFonts w:ascii="Arial Narrow" w:hAnsi="Arial Narrow"/>
        </w:rPr>
      </w:pPr>
      <w:r w:rsidRPr="00A51745">
        <w:rPr>
          <w:rFonts w:ascii="Arial Narrow" w:hAnsi="Arial Narrow"/>
        </w:rPr>
        <w:t xml:space="preserve">Comunicação de Riscos - Manter um conjunto adequado de relatórios de risco para assegurar que a alta </w:t>
      </w:r>
      <w:r w:rsidR="009A24B2" w:rsidRPr="00A51745">
        <w:rPr>
          <w:rFonts w:ascii="Arial Narrow" w:hAnsi="Arial Narrow"/>
        </w:rPr>
        <w:t xml:space="preserve">administração </w:t>
      </w:r>
      <w:r w:rsidRPr="00A51745">
        <w:rPr>
          <w:rFonts w:ascii="Arial Narrow" w:hAnsi="Arial Narrow"/>
        </w:rPr>
        <w:t xml:space="preserve">e </w:t>
      </w:r>
      <w:r w:rsidR="004A4C60" w:rsidRPr="00A51745">
        <w:rPr>
          <w:rFonts w:ascii="Arial Narrow" w:hAnsi="Arial Narrow"/>
        </w:rPr>
        <w:t>a Diretoria</w:t>
      </w:r>
      <w:r w:rsidRPr="00A51745">
        <w:rPr>
          <w:rFonts w:ascii="Arial Narrow" w:hAnsi="Arial Narrow"/>
        </w:rPr>
        <w:t xml:space="preserve"> disponham de informações suficientes sobre os riscos para que possam realizar sua própria avaliação de risco e utilizar as informações na tomada de decisões do dia-a-dia.</w:t>
      </w:r>
    </w:p>
    <w:p w14:paraId="6A52BAFB" w14:textId="77777777" w:rsidR="00135853" w:rsidRPr="00A51745" w:rsidRDefault="00135853" w:rsidP="00356520">
      <w:pPr>
        <w:pStyle w:val="ListParagraph"/>
        <w:spacing w:after="120"/>
        <w:jc w:val="both"/>
        <w:rPr>
          <w:rFonts w:ascii="Arial Narrow" w:hAnsi="Arial Narrow"/>
        </w:rPr>
      </w:pPr>
    </w:p>
    <w:p w14:paraId="02DC13BE" w14:textId="55250017" w:rsidR="00135853" w:rsidRPr="00A51745" w:rsidRDefault="00135853" w:rsidP="00356520">
      <w:pPr>
        <w:pStyle w:val="ListParagraph"/>
        <w:numPr>
          <w:ilvl w:val="0"/>
          <w:numId w:val="32"/>
        </w:numPr>
        <w:spacing w:after="120"/>
        <w:jc w:val="both"/>
        <w:rPr>
          <w:rFonts w:ascii="Arial Narrow" w:hAnsi="Arial Narrow"/>
        </w:rPr>
      </w:pPr>
      <w:r w:rsidRPr="00A51745">
        <w:rPr>
          <w:rFonts w:ascii="Arial Narrow" w:hAnsi="Arial Narrow"/>
        </w:rPr>
        <w:t xml:space="preserve">Testes de Controle - Complementar </w:t>
      </w:r>
      <w:r w:rsidR="009A24B2" w:rsidRPr="00A51745">
        <w:rPr>
          <w:rFonts w:ascii="Arial Narrow" w:hAnsi="Arial Narrow"/>
        </w:rPr>
        <w:t xml:space="preserve">a verificação trimestral dos </w:t>
      </w:r>
      <w:r w:rsidR="000C304B" w:rsidRPr="00A51745">
        <w:rPr>
          <w:rFonts w:ascii="Arial Narrow" w:hAnsi="Arial Narrow"/>
        </w:rPr>
        <w:t>controles e</w:t>
      </w:r>
      <w:r w:rsidRPr="00A51745">
        <w:rPr>
          <w:rFonts w:ascii="Arial Narrow" w:hAnsi="Arial Narrow"/>
        </w:rPr>
        <w:t xml:space="preserve"> fornecer uma plataforma para testar e </w:t>
      </w:r>
      <w:r w:rsidR="009A24B2" w:rsidRPr="00A51745">
        <w:rPr>
          <w:rFonts w:ascii="Arial Narrow" w:hAnsi="Arial Narrow"/>
        </w:rPr>
        <w:t xml:space="preserve">comprovar </w:t>
      </w:r>
      <w:r w:rsidRPr="00A51745">
        <w:rPr>
          <w:rFonts w:ascii="Arial Narrow" w:hAnsi="Arial Narrow"/>
        </w:rPr>
        <w:t>o projeto e o desempenho do</w:t>
      </w:r>
      <w:r w:rsidR="009A24B2" w:rsidRPr="00A51745">
        <w:rPr>
          <w:rFonts w:ascii="Arial Narrow" w:hAnsi="Arial Narrow"/>
        </w:rPr>
        <w:t>s</w:t>
      </w:r>
      <w:r w:rsidRPr="00A51745">
        <w:rPr>
          <w:rFonts w:ascii="Arial Narrow" w:hAnsi="Arial Narrow"/>
        </w:rPr>
        <w:t xml:space="preserve"> controle</w:t>
      </w:r>
      <w:r w:rsidR="009A24B2" w:rsidRPr="00A51745">
        <w:rPr>
          <w:rFonts w:ascii="Arial Narrow" w:hAnsi="Arial Narrow"/>
        </w:rPr>
        <w:t>s</w:t>
      </w:r>
      <w:r w:rsidRPr="00A51745">
        <w:rPr>
          <w:rFonts w:ascii="Arial Narrow" w:hAnsi="Arial Narrow"/>
        </w:rPr>
        <w:t>.</w:t>
      </w:r>
    </w:p>
    <w:p w14:paraId="7A1036F3" w14:textId="3D76AC28" w:rsidR="00135853" w:rsidRPr="00A51745" w:rsidRDefault="00135853" w:rsidP="00356520">
      <w:pPr>
        <w:pStyle w:val="ListParagraph"/>
        <w:numPr>
          <w:ilvl w:val="0"/>
          <w:numId w:val="32"/>
        </w:numPr>
        <w:spacing w:after="120"/>
        <w:jc w:val="both"/>
        <w:rPr>
          <w:rFonts w:ascii="Arial Narrow" w:hAnsi="Arial Narrow"/>
        </w:rPr>
      </w:pPr>
      <w:r w:rsidRPr="00A51745">
        <w:rPr>
          <w:rFonts w:ascii="Arial Narrow" w:hAnsi="Arial Narrow"/>
        </w:rPr>
        <w:t xml:space="preserve">Política e Procedimentos - Facilitar a conformidade e a certificação de políticas, ou seja, vinculando </w:t>
      </w:r>
      <w:r w:rsidR="004A4C60" w:rsidRPr="00A51745">
        <w:rPr>
          <w:rFonts w:ascii="Arial Narrow" w:hAnsi="Arial Narrow"/>
        </w:rPr>
        <w:t>padrões</w:t>
      </w:r>
      <w:r w:rsidRPr="00A51745">
        <w:rPr>
          <w:rFonts w:ascii="Arial Narrow" w:hAnsi="Arial Narrow"/>
        </w:rPr>
        <w:t xml:space="preserve"> de políticas a controles específicos.</w:t>
      </w:r>
    </w:p>
    <w:p w14:paraId="5B18FCB7" w14:textId="3BCDCE64" w:rsidR="00135853" w:rsidRPr="00A51745" w:rsidRDefault="00135853" w:rsidP="00135853">
      <w:pPr>
        <w:tabs>
          <w:tab w:val="left" w:pos="284"/>
        </w:tabs>
        <w:jc w:val="both"/>
        <w:rPr>
          <w:rFonts w:ascii="Arial Narrow" w:hAnsi="Arial Narrow"/>
        </w:rPr>
      </w:pPr>
    </w:p>
    <w:p w14:paraId="68A3DCCF" w14:textId="5864715F" w:rsidR="00135853" w:rsidRPr="00A51745" w:rsidRDefault="00135853" w:rsidP="00135853">
      <w:pPr>
        <w:tabs>
          <w:tab w:val="left" w:pos="284"/>
        </w:tabs>
        <w:jc w:val="both"/>
        <w:rPr>
          <w:rFonts w:ascii="Arial Narrow" w:hAnsi="Arial Narrow"/>
        </w:rPr>
      </w:pPr>
      <w:r w:rsidRPr="00A51745">
        <w:rPr>
          <w:rFonts w:ascii="Arial Narrow" w:hAnsi="Arial Narrow"/>
        </w:rPr>
        <w:t xml:space="preserve">Os eventos e problemas significativos são encaminhados ao </w:t>
      </w:r>
      <w:r w:rsidR="00103FE7" w:rsidRPr="00A51745">
        <w:rPr>
          <w:rFonts w:ascii="Arial Narrow" w:hAnsi="Arial Narrow"/>
        </w:rPr>
        <w:t xml:space="preserve">Fórum do Grupo </w:t>
      </w:r>
      <w:r w:rsidR="00103FE7" w:rsidRPr="007B0B9D">
        <w:rPr>
          <w:rFonts w:ascii="Arial Narrow" w:hAnsi="Arial Narrow"/>
          <w:i/>
          <w:iCs/>
        </w:rPr>
        <w:t>Investment Vector Risk &amp; Controls</w:t>
      </w:r>
      <w:r w:rsidR="00103FE7" w:rsidRPr="00A51745">
        <w:rPr>
          <w:rFonts w:ascii="Arial Narrow" w:hAnsi="Arial Narrow"/>
        </w:rPr>
        <w:t xml:space="preserve"> bem como ao Comitê regional de </w:t>
      </w:r>
      <w:proofErr w:type="spellStart"/>
      <w:r w:rsidR="00103FE7" w:rsidRPr="007B0B9D">
        <w:rPr>
          <w:rFonts w:ascii="Arial Narrow" w:hAnsi="Arial Narrow"/>
          <w:i/>
          <w:iCs/>
        </w:rPr>
        <w:t>Operations</w:t>
      </w:r>
      <w:proofErr w:type="spellEnd"/>
      <w:r w:rsidR="00103FE7" w:rsidRPr="007B0B9D">
        <w:rPr>
          <w:rFonts w:ascii="Arial Narrow" w:hAnsi="Arial Narrow"/>
          <w:i/>
          <w:iCs/>
        </w:rPr>
        <w:t xml:space="preserve"> &amp; Controls</w:t>
      </w:r>
      <w:r w:rsidR="00103FE7" w:rsidRPr="00A51745">
        <w:rPr>
          <w:rFonts w:ascii="Arial Narrow" w:hAnsi="Arial Narrow"/>
        </w:rPr>
        <w:t xml:space="preserve"> das Américas do qual o Chief Risk Officer das Américas lidera.</w:t>
      </w:r>
      <w:r w:rsidRPr="00A51745">
        <w:rPr>
          <w:rFonts w:ascii="Arial Narrow" w:hAnsi="Arial Narrow"/>
        </w:rPr>
        <w:t xml:space="preserve">. A estrutura também descreve os processos para interações e atualizações para clientes </w:t>
      </w:r>
      <w:r w:rsidR="00103FE7" w:rsidRPr="00A51745">
        <w:rPr>
          <w:rFonts w:ascii="Arial Narrow" w:hAnsi="Arial Narrow"/>
        </w:rPr>
        <w:t>da abrdn</w:t>
      </w:r>
      <w:r w:rsidRPr="00A51745">
        <w:rPr>
          <w:rFonts w:ascii="Arial Narrow" w:hAnsi="Arial Narrow"/>
        </w:rPr>
        <w:t xml:space="preserve"> com relação a problemas/ações que afetam os clientes </w:t>
      </w:r>
      <w:r w:rsidR="00103FE7" w:rsidRPr="00A51745">
        <w:rPr>
          <w:rFonts w:ascii="Arial Narrow" w:hAnsi="Arial Narrow"/>
        </w:rPr>
        <w:t xml:space="preserve">da abrdn </w:t>
      </w:r>
      <w:r w:rsidRPr="00A51745">
        <w:rPr>
          <w:rFonts w:ascii="Arial Narrow" w:hAnsi="Arial Narrow"/>
        </w:rPr>
        <w:t xml:space="preserve">. </w:t>
      </w:r>
    </w:p>
    <w:p w14:paraId="0DAFF0D8" w14:textId="77777777" w:rsidR="00C54BC9" w:rsidRPr="00A51745" w:rsidRDefault="00C54BC9" w:rsidP="00135853">
      <w:pPr>
        <w:tabs>
          <w:tab w:val="left" w:pos="284"/>
        </w:tabs>
        <w:jc w:val="both"/>
        <w:rPr>
          <w:rFonts w:ascii="Arial Narrow" w:hAnsi="Arial Narrow"/>
        </w:rPr>
      </w:pPr>
    </w:p>
    <w:p w14:paraId="31B757F9" w14:textId="06679E2A" w:rsidR="00C54BC9" w:rsidRPr="007B0B9D" w:rsidRDefault="00C54BC9" w:rsidP="00C54BC9">
      <w:pPr>
        <w:tabs>
          <w:tab w:val="left" w:pos="284"/>
        </w:tabs>
        <w:jc w:val="both"/>
        <w:rPr>
          <w:rFonts w:ascii="Arial Narrow" w:hAnsi="Arial Narrow"/>
          <w:i/>
          <w:iCs/>
        </w:rPr>
      </w:pPr>
      <w:r w:rsidRPr="00A51745">
        <w:rPr>
          <w:rFonts w:ascii="Arial Narrow" w:hAnsi="Arial Narrow"/>
        </w:rPr>
        <w:t xml:space="preserve">O Risco Operacional se esforça para garantir a melhoria contínua dos controles internos da </w:t>
      </w:r>
      <w:r w:rsidR="00103FE7" w:rsidRPr="00A51745">
        <w:rPr>
          <w:rFonts w:ascii="Arial Narrow" w:hAnsi="Arial Narrow"/>
        </w:rPr>
        <w:t>abrdn Brasil</w:t>
      </w:r>
      <w:r w:rsidRPr="00A51745">
        <w:rPr>
          <w:rFonts w:ascii="Arial Narrow" w:hAnsi="Arial Narrow"/>
        </w:rPr>
        <w:t xml:space="preserve"> e garante que </w:t>
      </w:r>
      <w:r w:rsidR="00103FE7" w:rsidRPr="00A51745">
        <w:rPr>
          <w:rFonts w:ascii="Arial Narrow" w:hAnsi="Arial Narrow"/>
        </w:rPr>
        <w:t xml:space="preserve"> a</w:t>
      </w:r>
      <w:r w:rsidRPr="00A51745">
        <w:rPr>
          <w:rFonts w:ascii="Arial Narrow" w:hAnsi="Arial Narrow"/>
        </w:rPr>
        <w:t xml:space="preserve"> gestão de riscos está inserida na cultura da empresa. O Departamento de</w:t>
      </w:r>
      <w:r w:rsidR="00103FE7" w:rsidRPr="00A51745">
        <w:rPr>
          <w:rFonts w:ascii="Arial Narrow" w:hAnsi="Arial Narrow"/>
        </w:rPr>
        <w:t xml:space="preserve"> Risco e</w:t>
      </w:r>
      <w:r w:rsidRPr="00A51745">
        <w:rPr>
          <w:rFonts w:ascii="Arial Narrow" w:hAnsi="Arial Narrow"/>
        </w:rPr>
        <w:t xml:space="preserve"> Co</w:t>
      </w:r>
      <w:r w:rsidR="00EB7189" w:rsidRPr="00A51745">
        <w:rPr>
          <w:rFonts w:ascii="Arial Narrow" w:hAnsi="Arial Narrow"/>
        </w:rPr>
        <w:t>mpliance</w:t>
      </w:r>
      <w:r w:rsidRPr="00A51745">
        <w:rPr>
          <w:rFonts w:ascii="Arial Narrow" w:hAnsi="Arial Narrow"/>
        </w:rPr>
        <w:t xml:space="preserve">  trabalha </w:t>
      </w:r>
      <w:r w:rsidR="00103FE7" w:rsidRPr="00A51745">
        <w:rPr>
          <w:rFonts w:ascii="Arial Narrow" w:hAnsi="Arial Narrow"/>
        </w:rPr>
        <w:t xml:space="preserve">em conjunto com </w:t>
      </w:r>
      <w:r w:rsidR="005471F4" w:rsidRPr="00A51745">
        <w:rPr>
          <w:rFonts w:ascii="Arial Narrow" w:hAnsi="Arial Narrow"/>
        </w:rPr>
        <w:t xml:space="preserve">o time das Américas </w:t>
      </w:r>
      <w:r w:rsidRPr="00A51745">
        <w:rPr>
          <w:rFonts w:ascii="Arial Narrow" w:hAnsi="Arial Narrow"/>
        </w:rPr>
        <w:t xml:space="preserve"> em conexão com o Risco Operacional para o Brasil. No entanto, execução da estrutura de Risco Operacional; a análise de eventos; e a implementação de ações corretivas é realizada pela equipe de Risco Operacional (EUA), que se reporta diretamente ao </w:t>
      </w:r>
      <w:r w:rsidR="00EB7189" w:rsidRPr="007B0B9D">
        <w:rPr>
          <w:rFonts w:ascii="Arial Narrow" w:hAnsi="Arial Narrow"/>
          <w:i/>
          <w:iCs/>
        </w:rPr>
        <w:t xml:space="preserve">Chief Risk Officer </w:t>
      </w:r>
      <w:r w:rsidRPr="007B0B9D">
        <w:rPr>
          <w:rFonts w:ascii="Arial Narrow" w:hAnsi="Arial Narrow"/>
          <w:i/>
          <w:iCs/>
        </w:rPr>
        <w:t>- Américas</w:t>
      </w:r>
    </w:p>
    <w:p w14:paraId="715AD35A" w14:textId="77777777" w:rsidR="00135853" w:rsidRPr="007B0B9D" w:rsidRDefault="00135853" w:rsidP="00135853">
      <w:pPr>
        <w:tabs>
          <w:tab w:val="left" w:pos="284"/>
        </w:tabs>
        <w:jc w:val="both"/>
        <w:rPr>
          <w:rFonts w:ascii="Arial Narrow" w:hAnsi="Arial Narrow"/>
          <w:i/>
          <w:iCs/>
        </w:rPr>
      </w:pPr>
    </w:p>
    <w:p w14:paraId="5D0243AA" w14:textId="77777777" w:rsidR="00135853" w:rsidRPr="00A51745" w:rsidRDefault="00135853" w:rsidP="00135853">
      <w:pPr>
        <w:tabs>
          <w:tab w:val="left" w:pos="284"/>
        </w:tabs>
        <w:jc w:val="both"/>
        <w:rPr>
          <w:rFonts w:ascii="Arial Narrow" w:hAnsi="Arial Narrow"/>
          <w:b/>
          <w:bCs/>
        </w:rPr>
      </w:pPr>
    </w:p>
    <w:p w14:paraId="04A40991" w14:textId="77777777" w:rsidR="000E56FA" w:rsidRPr="00A51745" w:rsidRDefault="000E56FA" w:rsidP="00135853">
      <w:pPr>
        <w:tabs>
          <w:tab w:val="left" w:pos="284"/>
        </w:tabs>
        <w:jc w:val="both"/>
        <w:rPr>
          <w:rFonts w:ascii="Arial Narrow" w:hAnsi="Arial Narrow"/>
          <w:bCs/>
        </w:rPr>
      </w:pPr>
    </w:p>
    <w:p w14:paraId="09756F8D" w14:textId="77777777" w:rsidR="000E56FA" w:rsidRPr="00A51745" w:rsidRDefault="000E56FA" w:rsidP="000E56FA">
      <w:pPr>
        <w:tabs>
          <w:tab w:val="left" w:pos="284"/>
        </w:tabs>
        <w:jc w:val="both"/>
        <w:rPr>
          <w:rFonts w:ascii="Arial Narrow" w:hAnsi="Arial Narrow"/>
          <w:b/>
          <w:szCs w:val="24"/>
          <w:u w:val="single"/>
          <w:lang w:eastAsia="zh-CN"/>
        </w:rPr>
      </w:pPr>
      <w:r w:rsidRPr="00A51745">
        <w:rPr>
          <w:rFonts w:ascii="Arial Narrow" w:hAnsi="Arial Narrow"/>
          <w:b/>
          <w:szCs w:val="24"/>
          <w:u w:val="single"/>
          <w:lang w:eastAsia="zh-CN"/>
        </w:rPr>
        <w:t>Execução do Programa de Risco de Investimento</w:t>
      </w:r>
    </w:p>
    <w:p w14:paraId="6C925563" w14:textId="77777777" w:rsidR="000E56FA" w:rsidRPr="00A51745" w:rsidRDefault="000E56FA" w:rsidP="000E56FA">
      <w:pPr>
        <w:tabs>
          <w:tab w:val="left" w:pos="284"/>
        </w:tabs>
        <w:jc w:val="both"/>
        <w:rPr>
          <w:rFonts w:ascii="Arial Narrow" w:hAnsi="Arial Narrow"/>
          <w:b/>
          <w:bCs/>
        </w:rPr>
      </w:pPr>
    </w:p>
    <w:p w14:paraId="240FB3E7" w14:textId="6B8FD0CD" w:rsidR="000E56FA" w:rsidRPr="00A51745" w:rsidRDefault="000E56FA" w:rsidP="008F1DAF">
      <w:pPr>
        <w:pStyle w:val="Default"/>
        <w:tabs>
          <w:tab w:val="left" w:pos="284"/>
        </w:tabs>
        <w:jc w:val="both"/>
        <w:rPr>
          <w:rFonts w:ascii="Arial Narrow" w:hAnsi="Arial Narrow"/>
          <w:b/>
          <w:bCs/>
          <w:color w:val="auto"/>
        </w:rPr>
      </w:pPr>
      <w:r w:rsidRPr="00A51745">
        <w:rPr>
          <w:rFonts w:ascii="Arial Narrow" w:hAnsi="Arial Narrow"/>
          <w:color w:val="auto"/>
        </w:rPr>
        <w:t xml:space="preserve">A </w:t>
      </w:r>
      <w:r w:rsidR="00A421C6" w:rsidRPr="00A51745">
        <w:rPr>
          <w:rFonts w:ascii="Arial Narrow" w:hAnsi="Arial Narrow"/>
          <w:color w:val="auto"/>
        </w:rPr>
        <w:t>abrdn</w:t>
      </w:r>
      <w:r w:rsidR="00C11575" w:rsidRPr="00A51745">
        <w:rPr>
          <w:rFonts w:ascii="Arial Narrow" w:hAnsi="Arial Narrow"/>
          <w:color w:val="auto"/>
        </w:rPr>
        <w:t xml:space="preserve"> </w:t>
      </w:r>
      <w:r w:rsidRPr="00A51745">
        <w:rPr>
          <w:rFonts w:ascii="Arial Narrow" w:hAnsi="Arial Narrow"/>
          <w:color w:val="auto"/>
        </w:rPr>
        <w:t xml:space="preserve">Brasil </w:t>
      </w:r>
      <w:r w:rsidR="00764255" w:rsidRPr="00A51745">
        <w:rPr>
          <w:rFonts w:ascii="Arial Narrow" w:hAnsi="Arial Narrow"/>
          <w:color w:val="auto"/>
        </w:rPr>
        <w:t>conta com</w:t>
      </w:r>
      <w:r w:rsidR="006363AB" w:rsidRPr="00A51745">
        <w:rPr>
          <w:rFonts w:ascii="Arial Narrow" w:hAnsi="Arial Narrow"/>
          <w:color w:val="auto"/>
        </w:rPr>
        <w:t xml:space="preserve"> o suporte da </w:t>
      </w:r>
      <w:r w:rsidRPr="00A51745">
        <w:rPr>
          <w:rFonts w:ascii="Arial Narrow" w:hAnsi="Arial Narrow"/>
          <w:color w:val="auto"/>
        </w:rPr>
        <w:t xml:space="preserve">a equipe de Investment </w:t>
      </w:r>
      <w:proofErr w:type="spellStart"/>
      <w:r w:rsidR="008F0881" w:rsidRPr="00A51745">
        <w:rPr>
          <w:rFonts w:ascii="Arial Narrow" w:hAnsi="Arial Narrow"/>
          <w:color w:val="auto"/>
        </w:rPr>
        <w:t>Control</w:t>
      </w:r>
      <w:proofErr w:type="spellEnd"/>
      <w:r w:rsidR="008F0881" w:rsidRPr="00A51745">
        <w:rPr>
          <w:rFonts w:ascii="Arial Narrow" w:hAnsi="Arial Narrow"/>
          <w:color w:val="auto"/>
        </w:rPr>
        <w:t xml:space="preserve"> </w:t>
      </w:r>
      <w:r w:rsidRPr="00A51745">
        <w:rPr>
          <w:rFonts w:ascii="Arial Narrow" w:hAnsi="Arial Narrow"/>
          <w:color w:val="auto"/>
        </w:rPr>
        <w:t xml:space="preserve"> da </w:t>
      </w:r>
      <w:r w:rsidR="008F0881" w:rsidRPr="00A51745">
        <w:rPr>
          <w:rFonts w:ascii="Arial Narrow" w:hAnsi="Arial Narrow"/>
          <w:color w:val="auto"/>
        </w:rPr>
        <w:t>abrdn</w:t>
      </w:r>
      <w:r w:rsidRPr="00A51745">
        <w:rPr>
          <w:rFonts w:ascii="Arial Narrow" w:hAnsi="Arial Narrow"/>
          <w:color w:val="auto"/>
        </w:rPr>
        <w:t xml:space="preserve">(sediada nos EUA e Reino Unido) </w:t>
      </w:r>
      <w:r w:rsidR="00764255" w:rsidRPr="00A51745">
        <w:rPr>
          <w:rFonts w:ascii="Arial Narrow" w:hAnsi="Arial Narrow"/>
          <w:color w:val="auto"/>
        </w:rPr>
        <w:t>n</w:t>
      </w:r>
      <w:r w:rsidRPr="00A51745">
        <w:rPr>
          <w:rFonts w:ascii="Arial Narrow" w:hAnsi="Arial Narrow"/>
          <w:color w:val="auto"/>
        </w:rPr>
        <w:t xml:space="preserve">a codificação das diretrizes regulatórias do portfólio; restrições determinadas pelo mandato e limites internos no sistema Charles River (controles </w:t>
      </w:r>
      <w:proofErr w:type="spellStart"/>
      <w:r w:rsidRPr="00A51745">
        <w:rPr>
          <w:rFonts w:ascii="Arial Narrow" w:hAnsi="Arial Narrow"/>
          <w:color w:val="auto"/>
        </w:rPr>
        <w:t>pré</w:t>
      </w:r>
      <w:proofErr w:type="spellEnd"/>
      <w:r w:rsidRPr="00A51745">
        <w:rPr>
          <w:rFonts w:ascii="Arial Narrow" w:hAnsi="Arial Narrow"/>
          <w:color w:val="auto"/>
        </w:rPr>
        <w:t>/pós-negociação); o monitoramento diário de tais limites</w:t>
      </w:r>
      <w:r w:rsidR="008F0881" w:rsidRPr="00A51745">
        <w:rPr>
          <w:rFonts w:ascii="Arial Narrow" w:hAnsi="Arial Narrow"/>
          <w:color w:val="auto"/>
        </w:rPr>
        <w:t>.</w:t>
      </w:r>
      <w:r w:rsidRPr="00A51745">
        <w:rPr>
          <w:rFonts w:ascii="Arial Narrow" w:hAnsi="Arial Narrow"/>
          <w:color w:val="auto"/>
        </w:rPr>
        <w:t xml:space="preserve"> Além disso, a </w:t>
      </w:r>
      <w:r w:rsidR="00827E6D" w:rsidRPr="00A51745">
        <w:rPr>
          <w:rFonts w:ascii="Arial Narrow" w:hAnsi="Arial Narrow"/>
          <w:color w:val="auto"/>
        </w:rPr>
        <w:t>abrdn</w:t>
      </w:r>
      <w:r w:rsidRPr="00A51745">
        <w:rPr>
          <w:rFonts w:ascii="Arial Narrow" w:hAnsi="Arial Narrow"/>
          <w:color w:val="auto"/>
        </w:rPr>
        <w:t xml:space="preserve"> Brasil </w:t>
      </w:r>
      <w:r w:rsidR="00476947" w:rsidRPr="00A51745">
        <w:rPr>
          <w:rFonts w:ascii="Arial Narrow" w:hAnsi="Arial Narrow"/>
          <w:color w:val="auto"/>
        </w:rPr>
        <w:t>conta também  com</w:t>
      </w:r>
      <w:r w:rsidR="006363AB" w:rsidRPr="00A51745">
        <w:rPr>
          <w:rFonts w:ascii="Arial Narrow" w:hAnsi="Arial Narrow"/>
          <w:color w:val="auto"/>
        </w:rPr>
        <w:t xml:space="preserve"> o suporte d</w:t>
      </w:r>
      <w:r w:rsidRPr="00A51745">
        <w:rPr>
          <w:rFonts w:ascii="Arial Narrow" w:hAnsi="Arial Narrow"/>
          <w:color w:val="auto"/>
        </w:rPr>
        <w:t xml:space="preserve">a equipe de </w:t>
      </w:r>
      <w:r w:rsidR="00476947" w:rsidRPr="00A51745">
        <w:rPr>
          <w:rFonts w:ascii="Arial Narrow" w:hAnsi="Arial Narrow"/>
          <w:color w:val="auto"/>
        </w:rPr>
        <w:t>Investment</w:t>
      </w:r>
      <w:r w:rsidR="008F0881" w:rsidRPr="00A51745">
        <w:rPr>
          <w:rFonts w:ascii="Arial Narrow" w:hAnsi="Arial Narrow"/>
          <w:color w:val="auto"/>
        </w:rPr>
        <w:t xml:space="preserve"> Risk</w:t>
      </w:r>
      <w:r w:rsidRPr="00A51745">
        <w:rPr>
          <w:rFonts w:ascii="Arial Narrow" w:hAnsi="Arial Narrow"/>
          <w:color w:val="auto"/>
        </w:rPr>
        <w:t xml:space="preserve"> </w:t>
      </w:r>
      <w:r w:rsidR="00476947" w:rsidRPr="00A51745">
        <w:rPr>
          <w:rFonts w:ascii="Arial Narrow" w:hAnsi="Arial Narrow"/>
          <w:color w:val="auto"/>
        </w:rPr>
        <w:t>n</w:t>
      </w:r>
      <w:r w:rsidRPr="00A51745">
        <w:rPr>
          <w:rFonts w:ascii="Arial Narrow" w:hAnsi="Arial Narrow"/>
          <w:color w:val="auto"/>
        </w:rPr>
        <w:t xml:space="preserve">a manutenção diária dos sistemas de risco e </w:t>
      </w:r>
      <w:r w:rsidR="008F0881" w:rsidRPr="00A51745">
        <w:rPr>
          <w:rFonts w:ascii="Arial Narrow" w:hAnsi="Arial Narrow"/>
          <w:color w:val="auto"/>
        </w:rPr>
        <w:t>n</w:t>
      </w:r>
      <w:r w:rsidRPr="00A51745">
        <w:rPr>
          <w:rFonts w:ascii="Arial Narrow" w:hAnsi="Arial Narrow"/>
          <w:color w:val="auto"/>
        </w:rPr>
        <w:t xml:space="preserve">o cálculo dos indicadores e medidas de risco aplicáveis. A equipe de </w:t>
      </w:r>
      <w:r w:rsidR="008F0881" w:rsidRPr="00A51745">
        <w:rPr>
          <w:rFonts w:ascii="Arial Narrow" w:hAnsi="Arial Narrow"/>
          <w:color w:val="auto"/>
        </w:rPr>
        <w:t>Investment</w:t>
      </w:r>
      <w:r w:rsidRPr="00A51745">
        <w:rPr>
          <w:rFonts w:ascii="Arial Narrow" w:hAnsi="Arial Narrow"/>
          <w:color w:val="auto"/>
        </w:rPr>
        <w:t xml:space="preserve"> Risk </w:t>
      </w:r>
      <w:r w:rsidR="00DF51F4" w:rsidRPr="00A51745">
        <w:rPr>
          <w:rFonts w:ascii="Arial Narrow" w:hAnsi="Arial Narrow"/>
          <w:color w:val="auto"/>
        </w:rPr>
        <w:t xml:space="preserve"> </w:t>
      </w:r>
      <w:r w:rsidRPr="00A51745">
        <w:rPr>
          <w:rFonts w:ascii="Arial Narrow" w:hAnsi="Arial Narrow"/>
          <w:color w:val="auto"/>
        </w:rPr>
        <w:t xml:space="preserve">da </w:t>
      </w:r>
      <w:r w:rsidR="008F0881" w:rsidRPr="00A51745">
        <w:rPr>
          <w:rFonts w:ascii="Arial Narrow" w:hAnsi="Arial Narrow"/>
          <w:color w:val="auto"/>
        </w:rPr>
        <w:t>abrdn</w:t>
      </w:r>
      <w:r w:rsidRPr="00A51745">
        <w:rPr>
          <w:rFonts w:ascii="Arial Narrow" w:hAnsi="Arial Narrow"/>
          <w:color w:val="auto"/>
        </w:rPr>
        <w:t xml:space="preserve"> Brasil trabalha em estreita colaboração com tais departamentos para supervisionar </w:t>
      </w:r>
      <w:r w:rsidR="008F0881" w:rsidRPr="00A51745">
        <w:rPr>
          <w:rFonts w:ascii="Arial Narrow" w:hAnsi="Arial Narrow"/>
          <w:color w:val="auto"/>
        </w:rPr>
        <w:t xml:space="preserve">tais </w:t>
      </w:r>
      <w:r w:rsidRPr="00A51745">
        <w:rPr>
          <w:rFonts w:ascii="Arial Narrow" w:hAnsi="Arial Narrow"/>
          <w:color w:val="auto"/>
        </w:rPr>
        <w:t xml:space="preserve"> atividades</w:t>
      </w:r>
      <w:r w:rsidR="008F0881" w:rsidRPr="00A51745">
        <w:rPr>
          <w:rFonts w:ascii="Arial Narrow" w:hAnsi="Arial Narrow"/>
          <w:color w:val="auto"/>
        </w:rPr>
        <w:t>.</w:t>
      </w:r>
      <w:r w:rsidRPr="00A51745">
        <w:rPr>
          <w:rFonts w:ascii="Arial Narrow" w:hAnsi="Arial Narrow"/>
          <w:color w:val="auto"/>
        </w:rPr>
        <w:t xml:space="preserve"> </w:t>
      </w:r>
    </w:p>
    <w:p w14:paraId="6DF49814" w14:textId="77777777" w:rsidR="00135853" w:rsidRPr="00A51745" w:rsidRDefault="00135853" w:rsidP="00135853">
      <w:pPr>
        <w:tabs>
          <w:tab w:val="left" w:pos="284"/>
        </w:tabs>
        <w:jc w:val="both"/>
        <w:rPr>
          <w:rFonts w:ascii="Arial Narrow" w:hAnsi="Arial Narrow"/>
          <w:b/>
          <w:bCs/>
        </w:rPr>
      </w:pPr>
    </w:p>
    <w:p w14:paraId="5B7B24BC" w14:textId="58C7113D" w:rsidR="00135853" w:rsidRPr="00A51745" w:rsidRDefault="00135853" w:rsidP="00135853">
      <w:pPr>
        <w:tabs>
          <w:tab w:val="left" w:pos="284"/>
        </w:tabs>
        <w:jc w:val="both"/>
        <w:rPr>
          <w:rFonts w:ascii="Arial Narrow" w:hAnsi="Arial Narrow"/>
          <w:b/>
          <w:szCs w:val="24"/>
          <w:u w:val="single"/>
          <w:lang w:eastAsia="zh-CN"/>
        </w:rPr>
      </w:pPr>
      <w:r w:rsidRPr="00A51745">
        <w:rPr>
          <w:rFonts w:ascii="Arial Narrow" w:hAnsi="Arial Narrow"/>
          <w:b/>
          <w:szCs w:val="24"/>
          <w:u w:val="single"/>
          <w:lang w:eastAsia="zh-CN"/>
        </w:rPr>
        <w:lastRenderedPageBreak/>
        <w:t xml:space="preserve">Sistemas </w:t>
      </w:r>
    </w:p>
    <w:p w14:paraId="3EB406C0" w14:textId="4374B8FA" w:rsidR="00435A70" w:rsidRPr="00A51745" w:rsidRDefault="00435A70" w:rsidP="00135853">
      <w:pPr>
        <w:tabs>
          <w:tab w:val="left" w:pos="284"/>
        </w:tabs>
        <w:jc w:val="both"/>
        <w:rPr>
          <w:rFonts w:ascii="Arial Narrow" w:hAnsi="Arial Narrow"/>
        </w:rPr>
      </w:pPr>
      <w:r w:rsidRPr="00A51745">
        <w:rPr>
          <w:rFonts w:ascii="Arial Narrow" w:hAnsi="Arial Narrow"/>
        </w:rPr>
        <w:t xml:space="preserve">A </w:t>
      </w:r>
      <w:r w:rsidR="00D140DF" w:rsidRPr="00A51745">
        <w:rPr>
          <w:rFonts w:ascii="Arial Narrow" w:hAnsi="Arial Narrow"/>
        </w:rPr>
        <w:t>abrdn</w:t>
      </w:r>
      <w:r w:rsidRPr="00A51745">
        <w:rPr>
          <w:rFonts w:ascii="Arial Narrow" w:hAnsi="Arial Narrow"/>
        </w:rPr>
        <w:t xml:space="preserve"> emprega modelos de risco e sistemas que utilizam técnicas de modelagem estatística para analisar portfólios e calcular uma ampla variedade de medidas de risco, incluindo </w:t>
      </w:r>
      <w:proofErr w:type="spellStart"/>
      <w:r w:rsidRPr="00A51745">
        <w:rPr>
          <w:rFonts w:ascii="Arial Narrow" w:hAnsi="Arial Narrow"/>
        </w:rPr>
        <w:t>Value</w:t>
      </w:r>
      <w:proofErr w:type="spellEnd"/>
      <w:r w:rsidRPr="00A51745">
        <w:rPr>
          <w:rFonts w:ascii="Arial Narrow" w:hAnsi="Arial Narrow"/>
        </w:rPr>
        <w:t xml:space="preserve">– </w:t>
      </w:r>
      <w:proofErr w:type="spellStart"/>
      <w:r w:rsidRPr="00A51745">
        <w:rPr>
          <w:rFonts w:ascii="Arial Narrow" w:hAnsi="Arial Narrow"/>
        </w:rPr>
        <w:t>at</w:t>
      </w:r>
      <w:proofErr w:type="spellEnd"/>
      <w:r w:rsidRPr="00A51745">
        <w:rPr>
          <w:rFonts w:ascii="Arial Narrow" w:hAnsi="Arial Narrow"/>
        </w:rPr>
        <w:t xml:space="preserve">- </w:t>
      </w:r>
      <w:proofErr w:type="spellStart"/>
      <w:r w:rsidRPr="00A51745">
        <w:rPr>
          <w:rFonts w:ascii="Arial Narrow" w:hAnsi="Arial Narrow"/>
        </w:rPr>
        <w:t>risk</w:t>
      </w:r>
      <w:proofErr w:type="spellEnd"/>
      <w:r w:rsidRPr="00A51745">
        <w:rPr>
          <w:rFonts w:ascii="Arial Narrow" w:hAnsi="Arial Narrow"/>
        </w:rPr>
        <w:t xml:space="preserve">, volatilidade e </w:t>
      </w:r>
      <w:proofErr w:type="spellStart"/>
      <w:r w:rsidRPr="00A51745">
        <w:rPr>
          <w:rFonts w:ascii="Arial Narrow" w:hAnsi="Arial Narrow"/>
          <w:i/>
          <w:iCs/>
        </w:rPr>
        <w:t>tracking</w:t>
      </w:r>
      <w:proofErr w:type="spellEnd"/>
      <w:r w:rsidRPr="00A51745">
        <w:rPr>
          <w:rFonts w:ascii="Arial Narrow" w:hAnsi="Arial Narrow"/>
          <w:i/>
          <w:iCs/>
        </w:rPr>
        <w:t xml:space="preserve"> </w:t>
      </w:r>
      <w:proofErr w:type="spellStart"/>
      <w:r w:rsidRPr="00A51745">
        <w:rPr>
          <w:rFonts w:ascii="Arial Narrow" w:hAnsi="Arial Narrow"/>
          <w:i/>
          <w:iCs/>
        </w:rPr>
        <w:t>error</w:t>
      </w:r>
      <w:proofErr w:type="spellEnd"/>
      <w:r w:rsidRPr="00A51745">
        <w:rPr>
          <w:rFonts w:ascii="Arial Narrow" w:hAnsi="Arial Narrow"/>
          <w:i/>
          <w:iCs/>
        </w:rPr>
        <w:t>.</w:t>
      </w:r>
      <w:r w:rsidRPr="00A51745">
        <w:rPr>
          <w:rFonts w:ascii="Arial Narrow" w:hAnsi="Arial Narrow"/>
        </w:rPr>
        <w:t xml:space="preserve"> Modelos de risco e sistemas também são usados </w:t>
      </w:r>
      <w:r w:rsidRPr="00A51745">
        <w:rPr>
          <w:rFonts w:ascii="Arial" w:hAnsi="Arial" w:cs="Arial"/>
        </w:rPr>
        <w:t>​​</w:t>
      </w:r>
      <w:r w:rsidRPr="00A51745">
        <w:rPr>
          <w:rFonts w:ascii="Arial Narrow" w:hAnsi="Arial Narrow"/>
        </w:rPr>
        <w:t xml:space="preserve">para facilitar uma estrutura robusta de teste de estresse. A </w:t>
      </w:r>
      <w:r w:rsidR="00D140DF" w:rsidRPr="00A51745">
        <w:rPr>
          <w:rFonts w:ascii="Arial Narrow" w:hAnsi="Arial Narrow"/>
        </w:rPr>
        <w:t>abrdn</w:t>
      </w:r>
      <w:r w:rsidRPr="00A51745">
        <w:rPr>
          <w:rFonts w:ascii="Arial Narrow" w:hAnsi="Arial Narrow"/>
        </w:rPr>
        <w:t xml:space="preserve"> se esforça para usar o modelo/sistema de risco mais apropriado à estratégia de investimento do portfólio para garantir uma avaliação precisa e intuitiva e a decomposição do risco.</w:t>
      </w:r>
    </w:p>
    <w:p w14:paraId="1FE048D0" w14:textId="603E178F" w:rsidR="0080525A" w:rsidRPr="00A51745" w:rsidRDefault="0080525A" w:rsidP="00135853">
      <w:pPr>
        <w:tabs>
          <w:tab w:val="left" w:pos="284"/>
        </w:tabs>
        <w:jc w:val="both"/>
        <w:rPr>
          <w:rFonts w:ascii="Arial Narrow" w:hAnsi="Arial Narrow"/>
        </w:rPr>
      </w:pPr>
    </w:p>
    <w:tbl>
      <w:tblPr>
        <w:tblStyle w:val="TableGrid"/>
        <w:tblW w:w="0" w:type="auto"/>
        <w:tblLook w:val="04A0" w:firstRow="1" w:lastRow="0" w:firstColumn="1" w:lastColumn="0" w:noHBand="0" w:noVBand="1"/>
      </w:tblPr>
      <w:tblGrid>
        <w:gridCol w:w="1466"/>
        <w:gridCol w:w="4887"/>
      </w:tblGrid>
      <w:tr w:rsidR="00A51745" w:rsidRPr="00A51745" w14:paraId="02ABB44B" w14:textId="77777777" w:rsidTr="007B0B9D">
        <w:trPr>
          <w:trHeight w:val="20"/>
        </w:trPr>
        <w:tc>
          <w:tcPr>
            <w:tcW w:w="146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677F17E" w14:textId="77777777" w:rsidR="00A51745" w:rsidRPr="00A51745" w:rsidRDefault="00A51745">
            <w:pPr>
              <w:spacing w:line="276" w:lineRule="auto"/>
              <w:jc w:val="both"/>
              <w:rPr>
                <w:rFonts w:ascii="Arial Narrow" w:eastAsia="Calibri" w:hAnsi="Arial Narrow" w:cs="Arial"/>
                <w:b/>
                <w:szCs w:val="20"/>
              </w:rPr>
            </w:pPr>
            <w:r w:rsidRPr="00A51745">
              <w:rPr>
                <w:rFonts w:ascii="Arial Narrow" w:eastAsia="Calibri" w:hAnsi="Arial Narrow" w:cs="Arial"/>
                <w:b/>
                <w:szCs w:val="20"/>
              </w:rPr>
              <w:t>Risks covered</w:t>
            </w:r>
          </w:p>
        </w:tc>
        <w:tc>
          <w:tcPr>
            <w:tcW w:w="488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27853EE" w14:textId="77777777" w:rsidR="00A51745" w:rsidRPr="00A51745" w:rsidRDefault="00A51745">
            <w:pPr>
              <w:spacing w:line="276" w:lineRule="auto"/>
              <w:jc w:val="both"/>
              <w:rPr>
                <w:rFonts w:ascii="Arial Narrow" w:eastAsia="Calibri" w:hAnsi="Arial Narrow" w:cs="Arial"/>
                <w:b/>
                <w:szCs w:val="20"/>
              </w:rPr>
            </w:pPr>
            <w:r w:rsidRPr="00A51745">
              <w:rPr>
                <w:rFonts w:ascii="Arial Narrow" w:eastAsia="Calibri" w:hAnsi="Arial Narrow" w:cs="Arial"/>
                <w:b/>
                <w:szCs w:val="20"/>
              </w:rPr>
              <w:t>IT system</w:t>
            </w:r>
          </w:p>
        </w:tc>
      </w:tr>
      <w:tr w:rsidR="00A51745" w:rsidRPr="00D862F8" w14:paraId="0C823ACB" w14:textId="77777777" w:rsidTr="007B0B9D">
        <w:trPr>
          <w:trHeight w:val="20"/>
        </w:trPr>
        <w:tc>
          <w:tcPr>
            <w:tcW w:w="1466" w:type="dxa"/>
            <w:tcBorders>
              <w:top w:val="single" w:sz="4" w:space="0" w:color="auto"/>
              <w:left w:val="single" w:sz="4" w:space="0" w:color="auto"/>
              <w:bottom w:val="single" w:sz="4" w:space="0" w:color="auto"/>
              <w:right w:val="single" w:sz="4" w:space="0" w:color="auto"/>
            </w:tcBorders>
            <w:hideMark/>
          </w:tcPr>
          <w:p w14:paraId="103042E4" w14:textId="77777777" w:rsidR="00A51745" w:rsidRPr="00A51745" w:rsidRDefault="00A51745">
            <w:pPr>
              <w:spacing w:after="200" w:line="276" w:lineRule="auto"/>
              <w:jc w:val="both"/>
              <w:rPr>
                <w:rFonts w:ascii="Arial Narrow" w:eastAsia="Calibri" w:hAnsi="Arial Narrow" w:cs="Arial"/>
                <w:b/>
                <w:szCs w:val="20"/>
              </w:rPr>
            </w:pPr>
            <w:r w:rsidRPr="00A51745">
              <w:rPr>
                <w:rFonts w:ascii="Arial Narrow" w:eastAsia="Calibri" w:hAnsi="Arial Narrow" w:cs="Arial"/>
                <w:b/>
                <w:szCs w:val="20"/>
              </w:rPr>
              <w:t>Market</w:t>
            </w:r>
          </w:p>
        </w:tc>
        <w:tc>
          <w:tcPr>
            <w:tcW w:w="4887" w:type="dxa"/>
            <w:tcBorders>
              <w:top w:val="single" w:sz="4" w:space="0" w:color="auto"/>
              <w:left w:val="single" w:sz="4" w:space="0" w:color="auto"/>
              <w:bottom w:val="single" w:sz="4" w:space="0" w:color="auto"/>
              <w:right w:val="single" w:sz="4" w:space="0" w:color="auto"/>
            </w:tcBorders>
          </w:tcPr>
          <w:p w14:paraId="2682EDAA" w14:textId="77777777" w:rsidR="00A51745" w:rsidRPr="00A51745" w:rsidRDefault="00A51745">
            <w:pPr>
              <w:spacing w:after="200" w:line="276" w:lineRule="auto"/>
              <w:jc w:val="both"/>
              <w:rPr>
                <w:rFonts w:ascii="Arial Narrow" w:eastAsia="Calibri" w:hAnsi="Arial Narrow" w:cs="Arial"/>
                <w:b/>
                <w:bCs/>
                <w:szCs w:val="20"/>
              </w:rPr>
            </w:pPr>
            <w:r w:rsidRPr="00A51745">
              <w:rPr>
                <w:rFonts w:ascii="Arial Narrow" w:eastAsia="Calibri" w:hAnsi="Arial Narrow" w:cs="Arial"/>
                <w:szCs w:val="20"/>
              </w:rPr>
              <w:t xml:space="preserve">CRIMS is an externally provided Investment Management System owned by State Street Corporation. The system is an end-to-end platform linking investment, risk management and operations teams across the business. The system is used for trade order ticket generation, compliance-screening, and position monitoring for the majority of abrdn Investments. </w:t>
            </w:r>
          </w:p>
          <w:p w14:paraId="07E44C28" w14:textId="77777777" w:rsidR="00A51745" w:rsidRPr="00A51745" w:rsidRDefault="00A51745">
            <w:pPr>
              <w:spacing w:after="200" w:line="276" w:lineRule="auto"/>
              <w:jc w:val="both"/>
              <w:rPr>
                <w:rFonts w:ascii="Arial Narrow" w:eastAsia="Calibri" w:hAnsi="Arial Narrow" w:cs="Arial"/>
                <w:szCs w:val="20"/>
              </w:rPr>
            </w:pPr>
          </w:p>
        </w:tc>
      </w:tr>
      <w:tr w:rsidR="00A51745" w:rsidRPr="00D862F8" w14:paraId="33FCA9BC" w14:textId="77777777" w:rsidTr="007B0B9D">
        <w:trPr>
          <w:trHeight w:val="20"/>
        </w:trPr>
        <w:tc>
          <w:tcPr>
            <w:tcW w:w="1466" w:type="dxa"/>
            <w:tcBorders>
              <w:top w:val="single" w:sz="4" w:space="0" w:color="auto"/>
              <w:left w:val="single" w:sz="4" w:space="0" w:color="auto"/>
              <w:bottom w:val="single" w:sz="4" w:space="0" w:color="auto"/>
              <w:right w:val="single" w:sz="4" w:space="0" w:color="auto"/>
            </w:tcBorders>
            <w:hideMark/>
          </w:tcPr>
          <w:p w14:paraId="7B163FD4" w14:textId="77777777" w:rsidR="00A51745" w:rsidRPr="00A51745" w:rsidRDefault="00A51745">
            <w:pPr>
              <w:spacing w:after="200" w:line="276" w:lineRule="auto"/>
              <w:jc w:val="both"/>
              <w:rPr>
                <w:rFonts w:ascii="Arial Narrow" w:eastAsia="Calibri" w:hAnsi="Arial Narrow" w:cs="Arial"/>
                <w:b/>
                <w:szCs w:val="20"/>
              </w:rPr>
            </w:pPr>
            <w:r w:rsidRPr="00A51745">
              <w:rPr>
                <w:rFonts w:ascii="Arial Narrow" w:eastAsia="Calibri" w:hAnsi="Arial Narrow" w:cs="Arial"/>
                <w:b/>
                <w:szCs w:val="20"/>
              </w:rPr>
              <w:t>Market</w:t>
            </w:r>
          </w:p>
        </w:tc>
        <w:tc>
          <w:tcPr>
            <w:tcW w:w="4887" w:type="dxa"/>
            <w:tcBorders>
              <w:top w:val="single" w:sz="4" w:space="0" w:color="auto"/>
              <w:left w:val="single" w:sz="4" w:space="0" w:color="auto"/>
              <w:bottom w:val="single" w:sz="4" w:space="0" w:color="auto"/>
              <w:right w:val="single" w:sz="4" w:space="0" w:color="auto"/>
            </w:tcBorders>
          </w:tcPr>
          <w:p w14:paraId="1F9BB02A" w14:textId="77777777" w:rsidR="00A51745" w:rsidRPr="00A51745" w:rsidRDefault="00A51745">
            <w:pPr>
              <w:spacing w:after="200" w:line="276" w:lineRule="auto"/>
              <w:jc w:val="both"/>
              <w:rPr>
                <w:rFonts w:ascii="Arial Narrow" w:eastAsia="Calibri" w:hAnsi="Arial Narrow" w:cs="Arial"/>
                <w:szCs w:val="20"/>
              </w:rPr>
            </w:pPr>
            <w:r w:rsidRPr="00A51745">
              <w:rPr>
                <w:rFonts w:ascii="Arial Narrow" w:eastAsia="Calibri" w:hAnsi="Arial Narrow" w:cs="Arial"/>
                <w:szCs w:val="20"/>
              </w:rPr>
              <w:t xml:space="preserve">The </w:t>
            </w:r>
            <w:r w:rsidRPr="00A51745">
              <w:rPr>
                <w:rFonts w:ascii="Arial Narrow" w:eastAsia="Calibri" w:hAnsi="Arial Narrow" w:cs="Arial"/>
                <w:b/>
                <w:szCs w:val="20"/>
              </w:rPr>
              <w:t>APT Risk System</w:t>
            </w:r>
            <w:r w:rsidRPr="00A51745">
              <w:rPr>
                <w:rFonts w:ascii="Arial Narrow" w:eastAsia="Calibri" w:hAnsi="Arial Narrow" w:cs="Arial"/>
                <w:szCs w:val="20"/>
              </w:rPr>
              <w:t xml:space="preserve"> employs statistical factor modelling techniques to calculate ex-ante risk measures across multiple asset classes. It provides daily risk monitoring for core portfolios at both stock level and also at a hierarchy of aggregate positions. Typical risk measures include volatilities, tracking measures, and Value at Risk (</w:t>
            </w:r>
            <w:proofErr w:type="spellStart"/>
            <w:r w:rsidRPr="00A51745">
              <w:rPr>
                <w:rFonts w:ascii="Arial Narrow" w:eastAsia="Calibri" w:hAnsi="Arial Narrow" w:cs="Arial"/>
                <w:szCs w:val="20"/>
              </w:rPr>
              <w:t>VaR</w:t>
            </w:r>
            <w:proofErr w:type="spellEnd"/>
            <w:r w:rsidRPr="00A51745">
              <w:rPr>
                <w:rFonts w:ascii="Arial Narrow" w:eastAsia="Calibri" w:hAnsi="Arial Narrow" w:cs="Arial"/>
                <w:szCs w:val="20"/>
              </w:rPr>
              <w:t>).</w:t>
            </w:r>
            <w:r w:rsidRPr="00A51745">
              <w:rPr>
                <w:rFonts w:ascii="Arial Narrow" w:hAnsi="Arial Narrow" w:cs="Arial"/>
                <w:szCs w:val="20"/>
              </w:rPr>
              <w:t xml:space="preserve"> </w:t>
            </w:r>
            <w:r w:rsidRPr="00A51745">
              <w:rPr>
                <w:rFonts w:ascii="Arial Narrow" w:eastAsia="Calibri" w:hAnsi="Arial Narrow" w:cs="Arial"/>
                <w:szCs w:val="20"/>
              </w:rPr>
              <w:t>It also provides stress-testing function capability. We plan to discontinue APT by the end of 2022.</w:t>
            </w:r>
          </w:p>
          <w:p w14:paraId="32C1F062" w14:textId="77777777" w:rsidR="00A51745" w:rsidRPr="00A51745" w:rsidRDefault="00A51745">
            <w:pPr>
              <w:spacing w:line="276" w:lineRule="auto"/>
              <w:jc w:val="both"/>
              <w:rPr>
                <w:rFonts w:ascii="Arial Narrow" w:eastAsia="Calibri" w:hAnsi="Arial Narrow" w:cs="Arial"/>
                <w:szCs w:val="20"/>
              </w:rPr>
            </w:pPr>
          </w:p>
        </w:tc>
      </w:tr>
      <w:tr w:rsidR="00A51745" w:rsidRPr="00D862F8" w14:paraId="4920A049" w14:textId="77777777" w:rsidTr="007B0B9D">
        <w:trPr>
          <w:trHeight w:val="20"/>
        </w:trPr>
        <w:tc>
          <w:tcPr>
            <w:tcW w:w="1466" w:type="dxa"/>
            <w:tcBorders>
              <w:top w:val="single" w:sz="4" w:space="0" w:color="auto"/>
              <w:left w:val="single" w:sz="4" w:space="0" w:color="auto"/>
              <w:bottom w:val="single" w:sz="4" w:space="0" w:color="auto"/>
              <w:right w:val="single" w:sz="4" w:space="0" w:color="auto"/>
            </w:tcBorders>
            <w:hideMark/>
          </w:tcPr>
          <w:p w14:paraId="7F085C4C" w14:textId="77777777" w:rsidR="00A51745" w:rsidRPr="00A51745" w:rsidRDefault="00A51745">
            <w:pPr>
              <w:spacing w:line="276" w:lineRule="auto"/>
              <w:jc w:val="both"/>
              <w:rPr>
                <w:rFonts w:ascii="Arial Narrow" w:eastAsia="Calibri" w:hAnsi="Arial Narrow" w:cs="Arial"/>
                <w:b/>
                <w:szCs w:val="20"/>
              </w:rPr>
            </w:pPr>
            <w:r w:rsidRPr="00A51745">
              <w:rPr>
                <w:rFonts w:ascii="Arial Narrow" w:eastAsia="Calibri" w:hAnsi="Arial Narrow" w:cs="Arial"/>
                <w:b/>
                <w:szCs w:val="20"/>
              </w:rPr>
              <w:t>Market</w:t>
            </w:r>
          </w:p>
        </w:tc>
        <w:tc>
          <w:tcPr>
            <w:tcW w:w="4887" w:type="dxa"/>
            <w:tcBorders>
              <w:top w:val="single" w:sz="4" w:space="0" w:color="auto"/>
              <w:left w:val="single" w:sz="4" w:space="0" w:color="auto"/>
              <w:bottom w:val="single" w:sz="4" w:space="0" w:color="auto"/>
              <w:right w:val="single" w:sz="4" w:space="0" w:color="auto"/>
            </w:tcBorders>
          </w:tcPr>
          <w:p w14:paraId="7EC9C8FD" w14:textId="77777777" w:rsidR="00A51745" w:rsidRPr="00A51745" w:rsidRDefault="00A51745">
            <w:pPr>
              <w:autoSpaceDE w:val="0"/>
              <w:autoSpaceDN w:val="0"/>
              <w:adjustRightInd w:val="0"/>
              <w:spacing w:line="276" w:lineRule="auto"/>
              <w:jc w:val="both"/>
              <w:rPr>
                <w:rFonts w:ascii="Arial Narrow" w:eastAsia="Calibri" w:hAnsi="Arial Narrow" w:cs="Arial"/>
                <w:szCs w:val="20"/>
              </w:rPr>
            </w:pPr>
            <w:proofErr w:type="spellStart"/>
            <w:r w:rsidRPr="00A51745">
              <w:rPr>
                <w:rFonts w:ascii="Arial Narrow" w:eastAsia="Calibri" w:hAnsi="Arial Narrow" w:cs="Arial"/>
                <w:b/>
                <w:bCs/>
                <w:szCs w:val="20"/>
              </w:rPr>
              <w:t>RiskMetrics</w:t>
            </w:r>
            <w:proofErr w:type="spellEnd"/>
            <w:r w:rsidRPr="00A51745">
              <w:rPr>
                <w:rFonts w:ascii="Arial Narrow" w:eastAsia="Calibri" w:hAnsi="Arial Narrow" w:cs="Arial"/>
                <w:szCs w:val="20"/>
              </w:rPr>
              <w:t xml:space="preserve"> provides with risk information across a broad range of instruments including Commodities, Equities, Fixed Income, FX, Mortgages, and Structured Credit, using multiple Value-at-Risk (</w:t>
            </w:r>
            <w:proofErr w:type="spellStart"/>
            <w:r w:rsidRPr="00A51745">
              <w:rPr>
                <w:rFonts w:ascii="Arial Narrow" w:eastAsia="Calibri" w:hAnsi="Arial Narrow" w:cs="Arial"/>
                <w:szCs w:val="20"/>
              </w:rPr>
              <w:t>VaR</w:t>
            </w:r>
            <w:proofErr w:type="spellEnd"/>
            <w:r w:rsidRPr="00A51745">
              <w:rPr>
                <w:rFonts w:ascii="Arial Narrow" w:eastAsia="Calibri" w:hAnsi="Arial Narrow" w:cs="Arial"/>
                <w:szCs w:val="20"/>
              </w:rPr>
              <w:t>) simulation methodologies, robust stress testing, sensitivity analysis, and flexible instrument pricing models.</w:t>
            </w:r>
          </w:p>
          <w:p w14:paraId="1E309C01" w14:textId="77777777" w:rsidR="00A51745" w:rsidRPr="00A51745" w:rsidRDefault="00A51745">
            <w:pPr>
              <w:autoSpaceDE w:val="0"/>
              <w:autoSpaceDN w:val="0"/>
              <w:adjustRightInd w:val="0"/>
              <w:spacing w:line="276" w:lineRule="auto"/>
              <w:jc w:val="both"/>
              <w:rPr>
                <w:rFonts w:ascii="Arial Narrow" w:eastAsia="Calibri" w:hAnsi="Arial Narrow" w:cs="Arial"/>
                <w:szCs w:val="20"/>
              </w:rPr>
            </w:pPr>
          </w:p>
          <w:p w14:paraId="49DDA336" w14:textId="77777777" w:rsidR="00A51745" w:rsidRPr="00A51745" w:rsidRDefault="00A51745">
            <w:pPr>
              <w:autoSpaceDE w:val="0"/>
              <w:autoSpaceDN w:val="0"/>
              <w:adjustRightInd w:val="0"/>
              <w:spacing w:line="276" w:lineRule="auto"/>
              <w:jc w:val="both"/>
              <w:rPr>
                <w:rFonts w:ascii="Arial Narrow" w:eastAsia="Calibri" w:hAnsi="Arial Narrow" w:cs="Arial"/>
                <w:szCs w:val="20"/>
              </w:rPr>
            </w:pPr>
            <w:proofErr w:type="spellStart"/>
            <w:r w:rsidRPr="00A51745">
              <w:rPr>
                <w:rFonts w:ascii="Arial Narrow" w:eastAsia="Calibri" w:hAnsi="Arial Narrow" w:cs="Arial"/>
                <w:b/>
                <w:bCs/>
                <w:szCs w:val="20"/>
              </w:rPr>
              <w:t>RiskManager</w:t>
            </w:r>
            <w:proofErr w:type="spellEnd"/>
            <w:r w:rsidRPr="00A51745">
              <w:rPr>
                <w:rFonts w:ascii="Arial Narrow" w:eastAsia="Calibri" w:hAnsi="Arial Narrow" w:cs="Arial"/>
                <w:b/>
                <w:bCs/>
                <w:szCs w:val="20"/>
              </w:rPr>
              <w:t xml:space="preserve"> </w:t>
            </w:r>
            <w:r w:rsidRPr="00A51745">
              <w:rPr>
                <w:rFonts w:ascii="Arial Narrow" w:eastAsia="Calibri" w:hAnsi="Arial Narrow" w:cs="Arial"/>
                <w:szCs w:val="20"/>
              </w:rPr>
              <w:t xml:space="preserve">within </w:t>
            </w:r>
            <w:proofErr w:type="spellStart"/>
            <w:r w:rsidRPr="00A51745">
              <w:rPr>
                <w:rFonts w:ascii="Arial Narrow" w:eastAsia="Calibri" w:hAnsi="Arial Narrow" w:cs="Arial"/>
                <w:b/>
                <w:bCs/>
                <w:szCs w:val="20"/>
              </w:rPr>
              <w:t>RiskMetrics</w:t>
            </w:r>
            <w:proofErr w:type="spellEnd"/>
            <w:r w:rsidRPr="00A51745">
              <w:rPr>
                <w:rFonts w:ascii="Arial Narrow" w:eastAsia="Calibri" w:hAnsi="Arial Narrow" w:cs="Arial"/>
                <w:szCs w:val="20"/>
              </w:rPr>
              <w:t xml:space="preserve"> features powerful editing and diagnostic tools providing easy-to-use portfolio analysis capabilities. It also allows to quickly set up custom reports, run ad-hoc analyses, perform exception management to identify areas of risk, design stress test scenarios, and perform what-if analysis to rebalance or hedge a portfolio.</w:t>
            </w:r>
          </w:p>
        </w:tc>
      </w:tr>
      <w:tr w:rsidR="00A51745" w:rsidRPr="00D862F8" w14:paraId="2FCE7105" w14:textId="77777777" w:rsidTr="00A51745">
        <w:trPr>
          <w:trHeight w:val="20"/>
        </w:trPr>
        <w:tc>
          <w:tcPr>
            <w:tcW w:w="1466" w:type="dxa"/>
            <w:tcBorders>
              <w:top w:val="single" w:sz="4" w:space="0" w:color="auto"/>
              <w:left w:val="single" w:sz="4" w:space="0" w:color="auto"/>
              <w:bottom w:val="single" w:sz="4" w:space="0" w:color="auto"/>
              <w:right w:val="single" w:sz="4" w:space="0" w:color="auto"/>
            </w:tcBorders>
            <w:hideMark/>
          </w:tcPr>
          <w:p w14:paraId="03B1DCE0" w14:textId="77777777" w:rsidR="00A51745" w:rsidRPr="00A51745" w:rsidRDefault="00A51745">
            <w:pPr>
              <w:spacing w:after="200" w:line="276" w:lineRule="auto"/>
              <w:jc w:val="both"/>
              <w:rPr>
                <w:rFonts w:ascii="Arial Narrow" w:eastAsia="Calibri" w:hAnsi="Arial Narrow" w:cs="Arial"/>
                <w:b/>
                <w:szCs w:val="20"/>
              </w:rPr>
            </w:pPr>
            <w:r w:rsidRPr="00A51745">
              <w:rPr>
                <w:rFonts w:ascii="Arial Narrow" w:eastAsia="Calibri" w:hAnsi="Arial Narrow" w:cs="Arial"/>
                <w:b/>
                <w:szCs w:val="20"/>
              </w:rPr>
              <w:lastRenderedPageBreak/>
              <w:t>Market</w:t>
            </w:r>
          </w:p>
        </w:tc>
        <w:tc>
          <w:tcPr>
            <w:tcW w:w="4887" w:type="dxa"/>
            <w:tcBorders>
              <w:top w:val="single" w:sz="4" w:space="0" w:color="auto"/>
              <w:left w:val="single" w:sz="4" w:space="0" w:color="auto"/>
              <w:bottom w:val="single" w:sz="4" w:space="0" w:color="auto"/>
              <w:right w:val="single" w:sz="4" w:space="0" w:color="auto"/>
            </w:tcBorders>
          </w:tcPr>
          <w:p w14:paraId="5973345F" w14:textId="77777777" w:rsidR="00A51745" w:rsidRPr="00A51745" w:rsidRDefault="00A51745">
            <w:pPr>
              <w:spacing w:line="276" w:lineRule="auto"/>
              <w:jc w:val="both"/>
              <w:rPr>
                <w:rFonts w:ascii="Arial Narrow" w:eastAsia="Calibri" w:hAnsi="Arial Narrow" w:cs="Arial"/>
                <w:szCs w:val="20"/>
              </w:rPr>
            </w:pPr>
            <w:r w:rsidRPr="00A51745">
              <w:rPr>
                <w:rFonts w:ascii="Arial Narrow" w:eastAsia="Calibri" w:hAnsi="Arial Narrow" w:cs="Arial"/>
                <w:b/>
                <w:bCs/>
                <w:szCs w:val="20"/>
              </w:rPr>
              <w:t>Axioma</w:t>
            </w:r>
            <w:r w:rsidRPr="00A51745">
              <w:rPr>
                <w:rFonts w:ascii="Arial Narrow" w:eastAsia="Calibri" w:hAnsi="Arial Narrow" w:cs="Arial"/>
                <w:szCs w:val="20"/>
              </w:rPr>
              <w:t xml:space="preserve"> fundamental models allow an understanding and decomposition of the risk and return of portfolios into intuitive factors. Moreover, Axioma fundamental models are divided into model geographies Global, Emerging Market, Europe, Asia. </w:t>
            </w:r>
          </w:p>
          <w:p w14:paraId="33AD06CA" w14:textId="77777777" w:rsidR="00A51745" w:rsidRPr="00A51745" w:rsidRDefault="00A51745">
            <w:pPr>
              <w:autoSpaceDE w:val="0"/>
              <w:autoSpaceDN w:val="0"/>
              <w:adjustRightInd w:val="0"/>
              <w:spacing w:after="120" w:line="276" w:lineRule="auto"/>
              <w:jc w:val="both"/>
              <w:rPr>
                <w:rFonts w:ascii="Arial Narrow" w:eastAsia="Calibri" w:hAnsi="Arial Narrow" w:cs="Arial"/>
                <w:szCs w:val="20"/>
              </w:rPr>
            </w:pPr>
          </w:p>
        </w:tc>
      </w:tr>
      <w:tr w:rsidR="00A51745" w:rsidRPr="00D862F8" w14:paraId="1C972978" w14:textId="77777777" w:rsidTr="00A51745">
        <w:trPr>
          <w:trHeight w:val="20"/>
        </w:trPr>
        <w:tc>
          <w:tcPr>
            <w:tcW w:w="1466" w:type="dxa"/>
            <w:tcBorders>
              <w:top w:val="single" w:sz="4" w:space="0" w:color="auto"/>
              <w:left w:val="single" w:sz="4" w:space="0" w:color="auto"/>
              <w:bottom w:val="single" w:sz="4" w:space="0" w:color="auto"/>
              <w:right w:val="single" w:sz="4" w:space="0" w:color="auto"/>
            </w:tcBorders>
            <w:hideMark/>
          </w:tcPr>
          <w:p w14:paraId="1DD28F6E" w14:textId="77777777" w:rsidR="00A51745" w:rsidRPr="00A51745" w:rsidRDefault="00A51745">
            <w:pPr>
              <w:spacing w:after="200" w:line="276" w:lineRule="auto"/>
              <w:jc w:val="both"/>
              <w:rPr>
                <w:rFonts w:ascii="Arial Narrow" w:eastAsia="Calibri" w:hAnsi="Arial Narrow" w:cs="Arial"/>
                <w:b/>
                <w:szCs w:val="20"/>
              </w:rPr>
            </w:pPr>
            <w:r w:rsidRPr="00A51745">
              <w:rPr>
                <w:rFonts w:ascii="Arial Narrow" w:eastAsia="Calibri" w:hAnsi="Arial Narrow" w:cs="Arial"/>
                <w:b/>
                <w:szCs w:val="20"/>
              </w:rPr>
              <w:t>Liquidity</w:t>
            </w:r>
          </w:p>
        </w:tc>
        <w:tc>
          <w:tcPr>
            <w:tcW w:w="4887" w:type="dxa"/>
            <w:tcBorders>
              <w:top w:val="single" w:sz="4" w:space="0" w:color="auto"/>
              <w:left w:val="single" w:sz="4" w:space="0" w:color="auto"/>
              <w:bottom w:val="single" w:sz="4" w:space="0" w:color="auto"/>
              <w:right w:val="single" w:sz="4" w:space="0" w:color="auto"/>
            </w:tcBorders>
            <w:hideMark/>
          </w:tcPr>
          <w:p w14:paraId="31D534CC" w14:textId="77777777" w:rsidR="00A51745" w:rsidRPr="00A51745" w:rsidRDefault="00A51745">
            <w:pPr>
              <w:autoSpaceDE w:val="0"/>
              <w:autoSpaceDN w:val="0"/>
              <w:adjustRightInd w:val="0"/>
              <w:spacing w:after="120" w:line="276" w:lineRule="auto"/>
              <w:jc w:val="both"/>
              <w:rPr>
                <w:rFonts w:ascii="Arial Narrow" w:eastAsia="Calibri" w:hAnsi="Arial Narrow" w:cs="Arial"/>
                <w:szCs w:val="20"/>
              </w:rPr>
            </w:pPr>
            <w:r w:rsidRPr="00A51745">
              <w:rPr>
                <w:rFonts w:ascii="Arial Narrow" w:hAnsi="Arial Narrow" w:cs="Arial"/>
                <w:szCs w:val="20"/>
              </w:rPr>
              <w:t>The Market Risk function employs an in-house developed tool to measure liquidity for UCITS. Depending on the underlying assets, different sources feed the system in relation to market data used.</w:t>
            </w:r>
          </w:p>
        </w:tc>
      </w:tr>
      <w:tr w:rsidR="00A51745" w:rsidRPr="00D862F8" w14:paraId="62424338" w14:textId="77777777" w:rsidTr="00A51745">
        <w:trPr>
          <w:trHeight w:val="20"/>
        </w:trPr>
        <w:tc>
          <w:tcPr>
            <w:tcW w:w="1466" w:type="dxa"/>
            <w:tcBorders>
              <w:top w:val="single" w:sz="4" w:space="0" w:color="auto"/>
              <w:left w:val="single" w:sz="4" w:space="0" w:color="auto"/>
              <w:bottom w:val="single" w:sz="4" w:space="0" w:color="auto"/>
              <w:right w:val="single" w:sz="4" w:space="0" w:color="auto"/>
            </w:tcBorders>
            <w:hideMark/>
          </w:tcPr>
          <w:p w14:paraId="6E1E9989" w14:textId="77777777" w:rsidR="00A51745" w:rsidRPr="00A51745" w:rsidRDefault="00A51745">
            <w:pPr>
              <w:spacing w:after="200" w:line="276" w:lineRule="auto"/>
              <w:jc w:val="both"/>
              <w:rPr>
                <w:rFonts w:ascii="Arial Narrow" w:eastAsia="Calibri" w:hAnsi="Arial Narrow" w:cs="Arial"/>
                <w:b/>
                <w:szCs w:val="20"/>
              </w:rPr>
            </w:pPr>
            <w:r w:rsidRPr="00A51745">
              <w:rPr>
                <w:rFonts w:ascii="Arial Narrow" w:eastAsia="Calibri" w:hAnsi="Arial Narrow" w:cs="Arial"/>
                <w:b/>
                <w:szCs w:val="20"/>
              </w:rPr>
              <w:t>Operational</w:t>
            </w:r>
          </w:p>
        </w:tc>
        <w:tc>
          <w:tcPr>
            <w:tcW w:w="4887" w:type="dxa"/>
            <w:tcBorders>
              <w:top w:val="single" w:sz="4" w:space="0" w:color="auto"/>
              <w:left w:val="single" w:sz="4" w:space="0" w:color="auto"/>
              <w:bottom w:val="single" w:sz="4" w:space="0" w:color="auto"/>
              <w:right w:val="single" w:sz="4" w:space="0" w:color="auto"/>
            </w:tcBorders>
            <w:hideMark/>
          </w:tcPr>
          <w:p w14:paraId="26F51EC6" w14:textId="77777777" w:rsidR="00A51745" w:rsidRPr="00A51745" w:rsidRDefault="00A51745">
            <w:pPr>
              <w:spacing w:after="200" w:line="276" w:lineRule="auto"/>
              <w:jc w:val="both"/>
              <w:rPr>
                <w:rFonts w:ascii="Arial Narrow" w:eastAsia="Calibri" w:hAnsi="Arial Narrow" w:cs="Arial"/>
                <w:szCs w:val="20"/>
              </w:rPr>
            </w:pPr>
            <w:r w:rsidRPr="00A51745">
              <w:rPr>
                <w:rFonts w:ascii="Arial Narrow" w:eastAsia="Calibri" w:hAnsi="Arial Narrow" w:cs="Arial"/>
                <w:b/>
                <w:bCs/>
                <w:szCs w:val="20"/>
              </w:rPr>
              <w:t>Shield</w:t>
            </w:r>
            <w:r w:rsidRPr="00A51745">
              <w:rPr>
                <w:rFonts w:ascii="Arial Narrow" w:eastAsia="Calibri" w:hAnsi="Arial Narrow" w:cs="Arial"/>
                <w:szCs w:val="20"/>
              </w:rPr>
              <w:t xml:space="preserve"> hosts three key applications: Events (which records all errors and breaches); Risk and Controls Module and Issues and Action Plans module. The system is a web-based application that is available to all members of the Group including the Management Company. </w:t>
            </w:r>
          </w:p>
        </w:tc>
      </w:tr>
    </w:tbl>
    <w:p w14:paraId="491ABB24" w14:textId="77777777" w:rsidR="0080525A" w:rsidRPr="00A51745" w:rsidRDefault="0080525A" w:rsidP="00135853">
      <w:pPr>
        <w:tabs>
          <w:tab w:val="left" w:pos="284"/>
        </w:tabs>
        <w:jc w:val="both"/>
        <w:rPr>
          <w:rFonts w:ascii="Arial Narrow" w:hAnsi="Arial Narrow"/>
          <w:lang w:val="en-GB"/>
        </w:rPr>
      </w:pPr>
    </w:p>
    <w:p w14:paraId="5352C58B" w14:textId="7FD5453A" w:rsidR="0080525A" w:rsidRPr="007B0B9D" w:rsidRDefault="00A51745" w:rsidP="00135853">
      <w:pPr>
        <w:tabs>
          <w:tab w:val="left" w:pos="284"/>
        </w:tabs>
        <w:jc w:val="both"/>
        <w:rPr>
          <w:rFonts w:ascii="Arial Narrow" w:hAnsi="Arial Narrow"/>
        </w:rPr>
      </w:pPr>
      <w:r w:rsidRPr="007B0B9D">
        <w:rPr>
          <w:rFonts w:ascii="Arial Narrow" w:hAnsi="Arial Narrow"/>
        </w:rPr>
        <w:t xml:space="preserve">Vale dizer que em </w:t>
      </w:r>
      <w:r w:rsidRPr="00A51745">
        <w:rPr>
          <w:rFonts w:ascii="Arial Narrow" w:hAnsi="Arial Narrow"/>
        </w:rPr>
        <w:t>v</w:t>
      </w:r>
      <w:r>
        <w:rPr>
          <w:rFonts w:ascii="Arial Narrow" w:hAnsi="Arial Narrow"/>
        </w:rPr>
        <w:t>irtude da natureza e complexidade de alguns ao uso de planilhas em algumas cir</w:t>
      </w:r>
      <w:r w:rsidR="007B0B9D">
        <w:rPr>
          <w:rFonts w:ascii="Arial Narrow" w:hAnsi="Arial Narrow"/>
        </w:rPr>
        <w:t>cunstâncias é</w:t>
      </w:r>
      <w:r>
        <w:rPr>
          <w:rFonts w:ascii="Arial Narrow" w:hAnsi="Arial Narrow"/>
        </w:rPr>
        <w:t xml:space="preserve"> essencial..</w:t>
      </w:r>
    </w:p>
    <w:p w14:paraId="79161238" w14:textId="5EC5F896" w:rsidR="0080525A" w:rsidRPr="007B0B9D" w:rsidRDefault="0080525A" w:rsidP="00135853">
      <w:pPr>
        <w:tabs>
          <w:tab w:val="left" w:pos="284"/>
        </w:tabs>
        <w:jc w:val="both"/>
        <w:rPr>
          <w:rFonts w:ascii="Arial Narrow" w:hAnsi="Arial Narrow"/>
        </w:rPr>
      </w:pPr>
    </w:p>
    <w:p w14:paraId="6BDE7146" w14:textId="4FAC8204" w:rsidR="0080525A" w:rsidRPr="007B0B9D" w:rsidRDefault="0080525A" w:rsidP="00135853">
      <w:pPr>
        <w:tabs>
          <w:tab w:val="left" w:pos="284"/>
        </w:tabs>
        <w:jc w:val="both"/>
        <w:rPr>
          <w:rFonts w:ascii="Arial Narrow" w:hAnsi="Arial Narrow"/>
        </w:rPr>
      </w:pPr>
    </w:p>
    <w:p w14:paraId="1E3D28AD" w14:textId="77777777" w:rsidR="00135853" w:rsidRPr="007B0B9D" w:rsidRDefault="00135853" w:rsidP="00135853">
      <w:pPr>
        <w:tabs>
          <w:tab w:val="left" w:pos="284"/>
        </w:tabs>
        <w:jc w:val="both"/>
        <w:rPr>
          <w:rFonts w:ascii="Arial Narrow" w:hAnsi="Arial Narrow"/>
          <w:b/>
          <w:bCs/>
          <w:sz w:val="16"/>
          <w:szCs w:val="16"/>
        </w:rPr>
      </w:pPr>
    </w:p>
    <w:p w14:paraId="231C8572" w14:textId="5599CD9A" w:rsidR="000B1E46" w:rsidRPr="00A51745" w:rsidRDefault="00135853" w:rsidP="00356520">
      <w:pPr>
        <w:tabs>
          <w:tab w:val="left" w:pos="284"/>
        </w:tabs>
        <w:jc w:val="both"/>
        <w:rPr>
          <w:rFonts w:ascii="Arial Narrow" w:hAnsi="Arial Narrow"/>
          <w:b/>
          <w:szCs w:val="24"/>
          <w:u w:val="single"/>
          <w:lang w:eastAsia="zh-CN"/>
        </w:rPr>
      </w:pPr>
      <w:r w:rsidRPr="00A51745">
        <w:rPr>
          <w:rFonts w:ascii="Arial Narrow" w:hAnsi="Arial Narrow"/>
          <w:b/>
          <w:szCs w:val="24"/>
          <w:u w:val="single"/>
          <w:lang w:eastAsia="zh-CN"/>
        </w:rPr>
        <w:t>Relatórios</w:t>
      </w:r>
    </w:p>
    <w:p w14:paraId="39DE76BE" w14:textId="2A257196" w:rsidR="00903564" w:rsidRPr="00A51745" w:rsidRDefault="00903564" w:rsidP="00903564">
      <w:pPr>
        <w:pStyle w:val="ListParagraph"/>
        <w:tabs>
          <w:tab w:val="left" w:pos="360"/>
        </w:tabs>
        <w:spacing w:after="0" w:line="240" w:lineRule="auto"/>
        <w:ind w:left="0"/>
        <w:contextualSpacing/>
        <w:jc w:val="both"/>
        <w:rPr>
          <w:rFonts w:ascii="Arial Narrow" w:hAnsi="Arial Narrow"/>
        </w:rPr>
      </w:pPr>
      <w:r w:rsidRPr="00A51745">
        <w:rPr>
          <w:rFonts w:ascii="Arial Narrow" w:hAnsi="Arial Narrow"/>
        </w:rPr>
        <w:t>A frequência dos relatórios dependerá da natureza e da complexidade do portfólio, das necessidades do cliente e das exigências regulatórias de monitoramento. No entanto, eles são tipicamente produzidos semanalmente.</w:t>
      </w:r>
    </w:p>
    <w:p w14:paraId="717331E4" w14:textId="5BA03DF4" w:rsidR="00903564" w:rsidRPr="00A51745" w:rsidRDefault="00903564" w:rsidP="00903564">
      <w:pPr>
        <w:pStyle w:val="ListParagraph"/>
        <w:tabs>
          <w:tab w:val="left" w:pos="360"/>
        </w:tabs>
        <w:spacing w:after="0" w:line="240" w:lineRule="auto"/>
        <w:ind w:left="0"/>
        <w:contextualSpacing/>
        <w:jc w:val="both"/>
        <w:rPr>
          <w:rFonts w:ascii="Arial Narrow" w:hAnsi="Arial Narrow"/>
        </w:rPr>
      </w:pPr>
      <w:r w:rsidRPr="00A51745">
        <w:rPr>
          <w:rFonts w:ascii="Arial Narrow" w:hAnsi="Arial Narrow"/>
        </w:rPr>
        <w:lastRenderedPageBreak/>
        <w:t>Os relatórios de risco são disponibilizados seguindo um prazo acordado internamente,  para os gestores dos fundos e outras partes interessadas pelo menos mensalmente.</w:t>
      </w:r>
    </w:p>
    <w:p w14:paraId="389372DC" w14:textId="0BAA2117" w:rsidR="00903564" w:rsidRPr="00A51745" w:rsidRDefault="00903564" w:rsidP="00356520">
      <w:pPr>
        <w:pStyle w:val="ListParagraph"/>
        <w:tabs>
          <w:tab w:val="left" w:pos="360"/>
        </w:tabs>
        <w:spacing w:after="0" w:line="240" w:lineRule="auto"/>
        <w:ind w:left="0"/>
        <w:contextualSpacing/>
        <w:jc w:val="both"/>
        <w:rPr>
          <w:rFonts w:ascii="Arial Narrow" w:hAnsi="Arial Narrow"/>
        </w:rPr>
      </w:pPr>
    </w:p>
    <w:p w14:paraId="18C4278E" w14:textId="77777777" w:rsidR="00903564" w:rsidRPr="00A51745" w:rsidRDefault="00903564" w:rsidP="00356520">
      <w:pPr>
        <w:pStyle w:val="ListParagraph"/>
        <w:tabs>
          <w:tab w:val="left" w:pos="360"/>
        </w:tabs>
        <w:spacing w:after="0" w:line="240" w:lineRule="auto"/>
        <w:ind w:left="0"/>
        <w:contextualSpacing/>
        <w:jc w:val="both"/>
        <w:rPr>
          <w:rFonts w:ascii="Arial Narrow" w:hAnsi="Arial Narrow"/>
        </w:rPr>
      </w:pPr>
    </w:p>
    <w:p w14:paraId="4BBDBF8E" w14:textId="7EDC1E2C" w:rsidR="00135853" w:rsidRPr="00A51745" w:rsidRDefault="00135853" w:rsidP="00356520">
      <w:pPr>
        <w:pStyle w:val="ListParagraph"/>
        <w:tabs>
          <w:tab w:val="left" w:pos="360"/>
        </w:tabs>
        <w:spacing w:after="0" w:line="240" w:lineRule="auto"/>
        <w:ind w:left="0"/>
        <w:contextualSpacing/>
        <w:jc w:val="both"/>
        <w:rPr>
          <w:rFonts w:ascii="Arial Narrow" w:hAnsi="Arial Narrow"/>
        </w:rPr>
      </w:pPr>
    </w:p>
    <w:p w14:paraId="48F51A36" w14:textId="77777777" w:rsidR="000B1E46" w:rsidRPr="00A51745" w:rsidRDefault="000B1E46" w:rsidP="00356520">
      <w:pPr>
        <w:pStyle w:val="ListParagraph"/>
        <w:tabs>
          <w:tab w:val="left" w:pos="360"/>
        </w:tabs>
        <w:spacing w:after="0" w:line="240" w:lineRule="auto"/>
        <w:ind w:left="0"/>
        <w:contextualSpacing/>
        <w:jc w:val="both"/>
        <w:rPr>
          <w:rFonts w:ascii="Arial Narrow" w:hAnsi="Arial Narrow"/>
        </w:rPr>
      </w:pPr>
    </w:p>
    <w:p w14:paraId="04B9A9DD" w14:textId="6120DCCA" w:rsidR="006D14F7" w:rsidRPr="00A51745" w:rsidRDefault="006D14F7" w:rsidP="00356520">
      <w:pPr>
        <w:tabs>
          <w:tab w:val="left" w:pos="284"/>
        </w:tabs>
        <w:jc w:val="both"/>
        <w:rPr>
          <w:rFonts w:ascii="Arial Narrow" w:hAnsi="Arial Narrow"/>
          <w:b/>
          <w:szCs w:val="24"/>
          <w:u w:val="single"/>
          <w:lang w:eastAsia="zh-CN"/>
        </w:rPr>
      </w:pPr>
      <w:r w:rsidRPr="00A51745">
        <w:rPr>
          <w:rFonts w:ascii="Arial Narrow" w:hAnsi="Arial Narrow"/>
          <w:b/>
          <w:szCs w:val="24"/>
          <w:u w:val="single"/>
          <w:lang w:eastAsia="zh-CN"/>
        </w:rPr>
        <w:t xml:space="preserve">Reunião </w:t>
      </w:r>
    </w:p>
    <w:p w14:paraId="57F31D20" w14:textId="5D7E7CD6" w:rsidR="006D14F7" w:rsidRPr="00A51745" w:rsidRDefault="006D14F7" w:rsidP="000B1E46">
      <w:pPr>
        <w:pStyle w:val="ListParagraph"/>
        <w:tabs>
          <w:tab w:val="left" w:pos="360"/>
        </w:tabs>
        <w:ind w:left="0"/>
        <w:contextualSpacing/>
        <w:jc w:val="both"/>
        <w:rPr>
          <w:rFonts w:ascii="Arial Narrow" w:hAnsi="Arial Narrow"/>
        </w:rPr>
      </w:pPr>
      <w:r w:rsidRPr="00A51745">
        <w:rPr>
          <w:rFonts w:ascii="Arial Narrow" w:hAnsi="Arial Narrow"/>
        </w:rPr>
        <w:t>Além do monitoramento dos perfis de risco do fundo, há também uma reunião trimestral</w:t>
      </w:r>
      <w:r w:rsidR="00827E6D" w:rsidRPr="00A51745">
        <w:rPr>
          <w:rFonts w:ascii="Arial Narrow" w:hAnsi="Arial Narrow"/>
        </w:rPr>
        <w:t xml:space="preserve"> sobre exposição a riscos</w:t>
      </w:r>
      <w:r w:rsidR="00B0207B" w:rsidRPr="00A51745">
        <w:rPr>
          <w:rFonts w:ascii="Arial Narrow" w:hAnsi="Arial Narrow"/>
        </w:rPr>
        <w:t>.</w:t>
      </w:r>
    </w:p>
    <w:p w14:paraId="24B14458" w14:textId="77777777" w:rsidR="006D14F7" w:rsidRPr="00A51745" w:rsidRDefault="006D14F7" w:rsidP="000B1E46">
      <w:pPr>
        <w:pStyle w:val="ListParagraph"/>
        <w:tabs>
          <w:tab w:val="left" w:pos="360"/>
        </w:tabs>
        <w:ind w:left="0"/>
        <w:contextualSpacing/>
        <w:jc w:val="both"/>
        <w:rPr>
          <w:rFonts w:ascii="Arial Narrow" w:hAnsi="Arial Narrow"/>
        </w:rPr>
      </w:pPr>
    </w:p>
    <w:p w14:paraId="3F97B724" w14:textId="77777777" w:rsidR="006D14F7" w:rsidRPr="00A51745" w:rsidRDefault="006D14F7"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r w:rsidRPr="00A51745">
        <w:rPr>
          <w:rFonts w:ascii="Arial Narrow" w:hAnsi="Arial Narrow"/>
        </w:rPr>
        <w:t>Reunião de exposição a riscos: O objetivo desta reunião é discutir assuntos de exposição a riscos relacionados aos fundos domiciliados no Brasil. Quando necessário, os membros podem convocar uma reunião extraordinária para discutir situações atípicas.</w:t>
      </w:r>
    </w:p>
    <w:p w14:paraId="3A59AB62" w14:textId="77777777" w:rsidR="006D14F7" w:rsidRPr="00A51745" w:rsidRDefault="006D14F7" w:rsidP="00356520">
      <w:pPr>
        <w:pStyle w:val="ListParagraph"/>
        <w:tabs>
          <w:tab w:val="left" w:pos="720"/>
        </w:tabs>
        <w:autoSpaceDE w:val="0"/>
        <w:autoSpaceDN w:val="0"/>
        <w:adjustRightInd w:val="0"/>
        <w:spacing w:after="0" w:line="240" w:lineRule="auto"/>
        <w:jc w:val="both"/>
        <w:rPr>
          <w:rFonts w:ascii="Arial Narrow" w:hAnsi="Arial Narrow"/>
        </w:rPr>
      </w:pPr>
    </w:p>
    <w:p w14:paraId="14BACE8B" w14:textId="1486A9E2" w:rsidR="00135853" w:rsidRPr="00A51745" w:rsidRDefault="006D14F7" w:rsidP="00356520">
      <w:pPr>
        <w:pStyle w:val="ListParagraph"/>
        <w:numPr>
          <w:ilvl w:val="0"/>
          <w:numId w:val="30"/>
        </w:numPr>
        <w:tabs>
          <w:tab w:val="left" w:pos="720"/>
        </w:tabs>
        <w:autoSpaceDE w:val="0"/>
        <w:autoSpaceDN w:val="0"/>
        <w:adjustRightInd w:val="0"/>
        <w:spacing w:after="0" w:line="240" w:lineRule="auto"/>
        <w:jc w:val="both"/>
        <w:rPr>
          <w:rFonts w:ascii="Arial Narrow" w:hAnsi="Arial Narrow"/>
        </w:rPr>
      </w:pPr>
      <w:r w:rsidRPr="00A51745">
        <w:rPr>
          <w:rFonts w:ascii="Arial Narrow" w:hAnsi="Arial Narrow"/>
        </w:rPr>
        <w:t>Essa reunião será realizada trimestralmente e será composta p</w:t>
      </w:r>
      <w:r w:rsidR="00CD138C" w:rsidRPr="00A51745">
        <w:rPr>
          <w:rFonts w:ascii="Arial Narrow" w:hAnsi="Arial Narrow"/>
        </w:rPr>
        <w:t xml:space="preserve">or representantes </w:t>
      </w:r>
      <w:r w:rsidR="00751128" w:rsidRPr="00A51745">
        <w:rPr>
          <w:rFonts w:ascii="Arial Narrow" w:hAnsi="Arial Narrow"/>
        </w:rPr>
        <w:t xml:space="preserve">da </w:t>
      </w:r>
      <w:r w:rsidRPr="00A51745">
        <w:rPr>
          <w:rFonts w:ascii="Arial Narrow" w:hAnsi="Arial Narrow"/>
        </w:rPr>
        <w:t xml:space="preserve"> área de Investment Risk   da </w:t>
      </w:r>
      <w:r w:rsidR="00CD138C" w:rsidRPr="00A51745">
        <w:rPr>
          <w:rFonts w:ascii="Arial Narrow" w:hAnsi="Arial Narrow"/>
        </w:rPr>
        <w:t>abrdn</w:t>
      </w:r>
      <w:r w:rsidRPr="00A51745">
        <w:rPr>
          <w:rFonts w:ascii="Arial Narrow" w:hAnsi="Arial Narrow"/>
        </w:rPr>
        <w:t xml:space="preserve"> Brasil</w:t>
      </w:r>
      <w:r w:rsidR="00CD138C" w:rsidRPr="00A51745">
        <w:rPr>
          <w:rFonts w:ascii="Arial Narrow" w:hAnsi="Arial Narrow"/>
        </w:rPr>
        <w:t xml:space="preserve"> e do Reino Unido, gestores de fundos do Brasil e do time </w:t>
      </w:r>
      <w:r w:rsidR="00D12A8C" w:rsidRPr="00A51745">
        <w:rPr>
          <w:rFonts w:ascii="Arial Narrow" w:hAnsi="Arial Narrow"/>
        </w:rPr>
        <w:t>de</w:t>
      </w:r>
      <w:r w:rsidR="00CD138C" w:rsidRPr="00A51745">
        <w:rPr>
          <w:rFonts w:ascii="Arial Narrow" w:hAnsi="Arial Narrow"/>
        </w:rPr>
        <w:t xml:space="preserve"> </w:t>
      </w:r>
      <w:r w:rsidR="00CD138C" w:rsidRPr="007B0B9D">
        <w:rPr>
          <w:rFonts w:ascii="Arial Narrow" w:hAnsi="Arial Narrow"/>
          <w:i/>
          <w:iCs/>
        </w:rPr>
        <w:t xml:space="preserve">Global Active </w:t>
      </w:r>
      <w:proofErr w:type="spellStart"/>
      <w:r w:rsidR="00CD138C" w:rsidRPr="007B0B9D">
        <w:rPr>
          <w:rFonts w:ascii="Arial Narrow" w:hAnsi="Arial Narrow"/>
          <w:i/>
          <w:iCs/>
        </w:rPr>
        <w:t>Allocation</w:t>
      </w:r>
      <w:proofErr w:type="spellEnd"/>
      <w:r w:rsidR="00CD138C" w:rsidRPr="00A51745">
        <w:rPr>
          <w:rFonts w:ascii="Arial Narrow" w:hAnsi="Arial Narrow"/>
        </w:rPr>
        <w:t xml:space="preserve"> (Reino Unido)</w:t>
      </w:r>
      <w:r w:rsidRPr="00A51745">
        <w:rPr>
          <w:rFonts w:ascii="Arial Narrow" w:hAnsi="Arial Narrow"/>
        </w:rPr>
        <w:t xml:space="preserve">,  </w:t>
      </w:r>
    </w:p>
    <w:p w14:paraId="5D925DBF" w14:textId="77777777" w:rsidR="00135853" w:rsidRPr="00A51745" w:rsidRDefault="00135853" w:rsidP="00356520">
      <w:pPr>
        <w:tabs>
          <w:tab w:val="left" w:pos="284"/>
        </w:tabs>
        <w:jc w:val="both"/>
        <w:rPr>
          <w:rFonts w:ascii="Arial Narrow" w:hAnsi="Arial Narrow"/>
          <w:b/>
          <w:szCs w:val="24"/>
          <w:u w:val="single"/>
          <w:lang w:eastAsia="zh-CN"/>
        </w:rPr>
      </w:pPr>
    </w:p>
    <w:p w14:paraId="33459F63" w14:textId="0D2FF0A9" w:rsidR="00135853" w:rsidRPr="00A51745" w:rsidRDefault="00135853" w:rsidP="00356520">
      <w:pPr>
        <w:tabs>
          <w:tab w:val="left" w:pos="284"/>
        </w:tabs>
        <w:jc w:val="both"/>
        <w:rPr>
          <w:rFonts w:ascii="Arial Narrow" w:hAnsi="Arial Narrow"/>
          <w:b/>
          <w:szCs w:val="24"/>
          <w:u w:val="single"/>
          <w:lang w:eastAsia="zh-CN"/>
        </w:rPr>
      </w:pPr>
      <w:r w:rsidRPr="00A51745">
        <w:rPr>
          <w:rFonts w:ascii="Arial Narrow" w:hAnsi="Arial Narrow"/>
          <w:b/>
          <w:szCs w:val="24"/>
          <w:u w:val="single"/>
          <w:lang w:eastAsia="zh-CN"/>
        </w:rPr>
        <w:t xml:space="preserve">Estrutura Organizacional – </w:t>
      </w:r>
      <w:r w:rsidR="00356520" w:rsidRPr="00A51745">
        <w:rPr>
          <w:rFonts w:ascii="Arial Narrow" w:hAnsi="Arial Narrow"/>
          <w:b/>
          <w:szCs w:val="24"/>
          <w:u w:val="single"/>
          <w:lang w:eastAsia="zh-CN"/>
        </w:rPr>
        <w:t xml:space="preserve">Investment Risk </w:t>
      </w:r>
      <w:r w:rsidRPr="00A51745">
        <w:rPr>
          <w:rFonts w:ascii="Arial Narrow" w:hAnsi="Arial Narrow"/>
          <w:b/>
          <w:szCs w:val="24"/>
          <w:u w:val="single"/>
          <w:lang w:eastAsia="zh-CN"/>
        </w:rPr>
        <w:t xml:space="preserve"> </w:t>
      </w:r>
    </w:p>
    <w:p w14:paraId="11007715" w14:textId="77777777" w:rsidR="00135853" w:rsidRPr="00A51745" w:rsidRDefault="00135853" w:rsidP="00135853">
      <w:pPr>
        <w:tabs>
          <w:tab w:val="left" w:pos="284"/>
        </w:tabs>
        <w:jc w:val="both"/>
        <w:rPr>
          <w:rFonts w:ascii="Arial Narrow" w:hAnsi="Arial Narrow"/>
        </w:rPr>
      </w:pPr>
    </w:p>
    <w:p w14:paraId="59E50A23" w14:textId="033047A9" w:rsidR="00135853" w:rsidRPr="00A51745" w:rsidRDefault="00135853" w:rsidP="00135853">
      <w:pPr>
        <w:tabs>
          <w:tab w:val="left" w:pos="284"/>
        </w:tabs>
        <w:jc w:val="both"/>
        <w:rPr>
          <w:rFonts w:ascii="Arial Narrow" w:hAnsi="Arial Narrow"/>
        </w:rPr>
      </w:pPr>
      <w:r w:rsidRPr="00A51745">
        <w:rPr>
          <w:rFonts w:ascii="Arial Narrow" w:hAnsi="Arial Narrow"/>
        </w:rPr>
        <w:t xml:space="preserve">Como parte da função de Risco e Compliance, a equipe de </w:t>
      </w:r>
      <w:r w:rsidR="00356520" w:rsidRPr="00A51745">
        <w:rPr>
          <w:rFonts w:ascii="Arial Narrow" w:hAnsi="Arial Narrow"/>
        </w:rPr>
        <w:t>I</w:t>
      </w:r>
      <w:r w:rsidR="000B1E46" w:rsidRPr="00A51745">
        <w:rPr>
          <w:rFonts w:ascii="Arial Narrow" w:hAnsi="Arial Narrow"/>
        </w:rPr>
        <w:t xml:space="preserve">nvestment Risk </w:t>
      </w:r>
      <w:r w:rsidRPr="00A51745">
        <w:rPr>
          <w:rFonts w:ascii="Arial Narrow" w:hAnsi="Arial Narrow"/>
        </w:rPr>
        <w:t xml:space="preserve"> realiza uma ampla e independente supervisão de 2ª linha dos processos de risco de investimento de 1ª linha.</w:t>
      </w:r>
    </w:p>
    <w:p w14:paraId="2A7C8D0F" w14:textId="77777777" w:rsidR="00135853" w:rsidRPr="00A51745" w:rsidRDefault="00135853" w:rsidP="00135853">
      <w:pPr>
        <w:tabs>
          <w:tab w:val="left" w:pos="284"/>
        </w:tabs>
        <w:jc w:val="both"/>
        <w:rPr>
          <w:rFonts w:ascii="Arial Narrow" w:hAnsi="Arial Narrow"/>
          <w:b/>
          <w:bCs/>
        </w:rPr>
      </w:pPr>
    </w:p>
    <w:p w14:paraId="073C3C0A" w14:textId="33CDAC18" w:rsidR="00135853" w:rsidRDefault="00135853" w:rsidP="00135853">
      <w:pPr>
        <w:tabs>
          <w:tab w:val="left" w:pos="284"/>
        </w:tabs>
        <w:jc w:val="both"/>
        <w:rPr>
          <w:rFonts w:ascii="Arial Narrow" w:hAnsi="Arial Narrow"/>
          <w:b/>
          <w:bCs/>
        </w:rPr>
      </w:pPr>
    </w:p>
    <w:p w14:paraId="744FEF74" w14:textId="39A23412" w:rsidR="007B0B9D" w:rsidRDefault="007B0B9D" w:rsidP="00135853">
      <w:pPr>
        <w:tabs>
          <w:tab w:val="left" w:pos="284"/>
        </w:tabs>
        <w:jc w:val="both"/>
        <w:rPr>
          <w:rFonts w:ascii="Arial Narrow" w:hAnsi="Arial Narrow"/>
          <w:b/>
          <w:bCs/>
        </w:rPr>
      </w:pPr>
    </w:p>
    <w:p w14:paraId="1EB464FE" w14:textId="09931E92" w:rsidR="007B0B9D" w:rsidRDefault="007B0B9D" w:rsidP="00135853">
      <w:pPr>
        <w:tabs>
          <w:tab w:val="left" w:pos="284"/>
        </w:tabs>
        <w:jc w:val="both"/>
        <w:rPr>
          <w:rFonts w:ascii="Arial Narrow" w:hAnsi="Arial Narrow"/>
          <w:b/>
          <w:bCs/>
        </w:rPr>
      </w:pPr>
    </w:p>
    <w:p w14:paraId="6C0886A7" w14:textId="1E2296AD" w:rsidR="007B0B9D" w:rsidRDefault="007B0B9D" w:rsidP="00135853">
      <w:pPr>
        <w:tabs>
          <w:tab w:val="left" w:pos="284"/>
        </w:tabs>
        <w:jc w:val="both"/>
        <w:rPr>
          <w:rFonts w:ascii="Arial Narrow" w:hAnsi="Arial Narrow"/>
          <w:b/>
          <w:bCs/>
        </w:rPr>
      </w:pPr>
    </w:p>
    <w:p w14:paraId="2FFB34CE" w14:textId="53258107" w:rsidR="007B0B9D" w:rsidRDefault="007B0B9D" w:rsidP="00135853">
      <w:pPr>
        <w:tabs>
          <w:tab w:val="left" w:pos="284"/>
        </w:tabs>
        <w:jc w:val="both"/>
        <w:rPr>
          <w:rFonts w:ascii="Arial Narrow" w:hAnsi="Arial Narrow"/>
          <w:b/>
          <w:bCs/>
        </w:rPr>
      </w:pPr>
    </w:p>
    <w:p w14:paraId="60D3BA3D" w14:textId="359CA80D" w:rsidR="007B0B9D" w:rsidRDefault="007B0B9D" w:rsidP="00135853">
      <w:pPr>
        <w:tabs>
          <w:tab w:val="left" w:pos="284"/>
        </w:tabs>
        <w:jc w:val="both"/>
        <w:rPr>
          <w:rFonts w:ascii="Arial Narrow" w:hAnsi="Arial Narrow"/>
          <w:b/>
          <w:bCs/>
        </w:rPr>
      </w:pPr>
    </w:p>
    <w:p w14:paraId="55E7D828" w14:textId="3A5C63C7" w:rsidR="007B0B9D" w:rsidRDefault="007B0B9D" w:rsidP="00135853">
      <w:pPr>
        <w:tabs>
          <w:tab w:val="left" w:pos="284"/>
        </w:tabs>
        <w:jc w:val="both"/>
        <w:rPr>
          <w:rFonts w:ascii="Arial Narrow" w:hAnsi="Arial Narrow"/>
          <w:b/>
          <w:bCs/>
        </w:rPr>
      </w:pPr>
    </w:p>
    <w:p w14:paraId="056C9CB1" w14:textId="32C3EC26" w:rsidR="007B0B9D" w:rsidRDefault="007B0B9D" w:rsidP="00135853">
      <w:pPr>
        <w:tabs>
          <w:tab w:val="left" w:pos="284"/>
        </w:tabs>
        <w:jc w:val="both"/>
        <w:rPr>
          <w:rFonts w:ascii="Arial Narrow" w:hAnsi="Arial Narrow"/>
          <w:b/>
          <w:bCs/>
        </w:rPr>
      </w:pPr>
    </w:p>
    <w:p w14:paraId="214729F9" w14:textId="62876624" w:rsidR="007B0B9D" w:rsidRDefault="007B0B9D" w:rsidP="00135853">
      <w:pPr>
        <w:tabs>
          <w:tab w:val="left" w:pos="284"/>
        </w:tabs>
        <w:jc w:val="both"/>
        <w:rPr>
          <w:rFonts w:ascii="Arial Narrow" w:hAnsi="Arial Narrow"/>
          <w:b/>
          <w:bCs/>
        </w:rPr>
      </w:pPr>
    </w:p>
    <w:p w14:paraId="7F664BA4" w14:textId="1270C73F" w:rsidR="00BD6C9A" w:rsidRDefault="00BD6C9A" w:rsidP="00135853">
      <w:pPr>
        <w:tabs>
          <w:tab w:val="left" w:pos="284"/>
        </w:tabs>
        <w:jc w:val="both"/>
        <w:rPr>
          <w:rFonts w:ascii="Arial Narrow" w:hAnsi="Arial Narrow"/>
          <w:b/>
          <w:bCs/>
        </w:rPr>
      </w:pPr>
    </w:p>
    <w:p w14:paraId="0B986853" w14:textId="70E6E09C" w:rsidR="00BD6C9A" w:rsidRDefault="00BD6C9A" w:rsidP="00135853">
      <w:pPr>
        <w:tabs>
          <w:tab w:val="left" w:pos="284"/>
        </w:tabs>
        <w:jc w:val="both"/>
        <w:rPr>
          <w:rFonts w:ascii="Arial Narrow" w:hAnsi="Arial Narrow"/>
          <w:b/>
          <w:bCs/>
        </w:rPr>
      </w:pPr>
    </w:p>
    <w:p w14:paraId="6443C42B" w14:textId="16C99D6F" w:rsidR="00BD6C9A" w:rsidRDefault="00BD6C9A" w:rsidP="00135853">
      <w:pPr>
        <w:tabs>
          <w:tab w:val="left" w:pos="284"/>
        </w:tabs>
        <w:jc w:val="both"/>
        <w:rPr>
          <w:rFonts w:ascii="Arial Narrow" w:hAnsi="Arial Narrow"/>
          <w:b/>
          <w:bCs/>
        </w:rPr>
      </w:pPr>
    </w:p>
    <w:p w14:paraId="4FA96FCF" w14:textId="77777777" w:rsidR="00BD6C9A" w:rsidRDefault="00BD6C9A" w:rsidP="00135853">
      <w:pPr>
        <w:tabs>
          <w:tab w:val="left" w:pos="284"/>
        </w:tabs>
        <w:jc w:val="both"/>
        <w:rPr>
          <w:rFonts w:ascii="Arial Narrow" w:hAnsi="Arial Narrow"/>
          <w:b/>
          <w:bCs/>
        </w:rPr>
      </w:pPr>
    </w:p>
    <w:p w14:paraId="2EDFD1B9" w14:textId="5B7D7987" w:rsidR="007B0B9D" w:rsidRDefault="007B0B9D" w:rsidP="00135853">
      <w:pPr>
        <w:tabs>
          <w:tab w:val="left" w:pos="284"/>
        </w:tabs>
        <w:jc w:val="both"/>
        <w:rPr>
          <w:rFonts w:ascii="Arial Narrow" w:hAnsi="Arial Narrow"/>
          <w:b/>
          <w:bCs/>
        </w:rPr>
      </w:pPr>
    </w:p>
    <w:p w14:paraId="77AC0948" w14:textId="77777777" w:rsidR="007B0B9D" w:rsidRPr="00A51745" w:rsidRDefault="007B0B9D" w:rsidP="00135853">
      <w:pPr>
        <w:tabs>
          <w:tab w:val="left" w:pos="284"/>
        </w:tabs>
        <w:jc w:val="both"/>
        <w:rPr>
          <w:rFonts w:ascii="Arial Narrow" w:hAnsi="Arial Narrow"/>
          <w:b/>
          <w:bCs/>
        </w:rPr>
      </w:pPr>
    </w:p>
    <w:p w14:paraId="3C759FFA" w14:textId="218FCA61" w:rsidR="00C92E01" w:rsidRPr="00A51745" w:rsidRDefault="008661FB" w:rsidP="00C92E01">
      <w:pPr>
        <w:tabs>
          <w:tab w:val="left" w:pos="284"/>
        </w:tabs>
        <w:jc w:val="both"/>
        <w:rPr>
          <w:rFonts w:ascii="Arial Narrow" w:hAnsi="Arial Narrow"/>
          <w:b/>
          <w:bCs/>
          <w:lang w:val="en-GB"/>
        </w:rPr>
      </w:pPr>
      <w:r w:rsidRPr="00A51745">
        <w:rPr>
          <w:rFonts w:ascii="Arial Narrow" w:hAnsi="Arial Narrow"/>
          <w:b/>
          <w:bCs/>
          <w:lang w:val="en-US"/>
        </w:rPr>
        <w:lastRenderedPageBreak/>
        <w:t>abrdn</w:t>
      </w:r>
      <w:r w:rsidR="00135853" w:rsidRPr="00A51745">
        <w:rPr>
          <w:rFonts w:ascii="Arial Narrow" w:hAnsi="Arial Narrow"/>
          <w:b/>
          <w:bCs/>
          <w:lang w:val="en-US"/>
        </w:rPr>
        <w:t xml:space="preserve"> – Departamento de </w:t>
      </w:r>
      <w:r w:rsidR="00C92E01" w:rsidRPr="00A51745">
        <w:rPr>
          <w:rFonts w:ascii="Arial Narrow" w:hAnsi="Arial Narrow"/>
          <w:b/>
          <w:bCs/>
          <w:lang w:val="en-GB"/>
        </w:rPr>
        <w:t>Investment Risk  (“IR”)</w:t>
      </w:r>
    </w:p>
    <w:p w14:paraId="5BAD9EB0" w14:textId="77777777" w:rsidR="00C92E01" w:rsidRPr="00A51745" w:rsidRDefault="00C92E01" w:rsidP="00135853">
      <w:pPr>
        <w:tabs>
          <w:tab w:val="left" w:pos="284"/>
        </w:tabs>
        <w:jc w:val="both"/>
        <w:rPr>
          <w:rFonts w:ascii="Arial Narrow" w:hAnsi="Arial Narrow"/>
          <w:b/>
          <w:bCs/>
          <w:lang w:val="en-US"/>
        </w:rPr>
      </w:pPr>
    </w:p>
    <w:p w14:paraId="2EAD9C2E" w14:textId="77777777" w:rsidR="00C92E01" w:rsidRPr="00A51745" w:rsidRDefault="00C92E01" w:rsidP="00135853">
      <w:pPr>
        <w:tabs>
          <w:tab w:val="left" w:pos="284"/>
        </w:tabs>
        <w:jc w:val="both"/>
        <w:rPr>
          <w:rFonts w:ascii="Arial Narrow" w:hAnsi="Arial Narrow"/>
          <w:b/>
          <w:bCs/>
          <w:lang w:val="en-US"/>
        </w:rPr>
      </w:pPr>
    </w:p>
    <w:p w14:paraId="554D6D2C" w14:textId="2453BEB6" w:rsidR="00C92E01" w:rsidRPr="00A51745" w:rsidRDefault="003D2545" w:rsidP="00135853">
      <w:pPr>
        <w:tabs>
          <w:tab w:val="left" w:pos="284"/>
        </w:tabs>
        <w:jc w:val="both"/>
        <w:rPr>
          <w:rFonts w:ascii="Arial Narrow" w:hAnsi="Arial Narrow"/>
          <w:b/>
          <w:bCs/>
        </w:rPr>
      </w:pPr>
      <w:r w:rsidRPr="00A51745">
        <w:rPr>
          <w:rFonts w:ascii="Arial Narrow" w:hAnsi="Arial Narrow"/>
          <w:noProof/>
          <w:lang w:val="en-US" w:eastAsia="zh-TW"/>
        </w:rPr>
        <w:t xml:space="preserve"> </w:t>
      </w:r>
    </w:p>
    <w:p w14:paraId="42F0B3B9" w14:textId="77777777" w:rsidR="00135853" w:rsidRPr="00A51745" w:rsidRDefault="00135853" w:rsidP="00135853">
      <w:pPr>
        <w:pStyle w:val="ListParagraph"/>
        <w:pBdr>
          <w:bottom w:val="single" w:sz="12" w:space="1" w:color="auto"/>
        </w:pBdr>
        <w:tabs>
          <w:tab w:val="left" w:pos="284"/>
        </w:tabs>
        <w:ind w:left="0"/>
        <w:jc w:val="both"/>
        <w:rPr>
          <w:rFonts w:ascii="Arial Narrow" w:hAnsi="Arial Narrow"/>
        </w:rPr>
      </w:pPr>
    </w:p>
    <w:p w14:paraId="4C2F4DA5" w14:textId="0A9D0C35" w:rsidR="00135853" w:rsidRPr="00A51745" w:rsidRDefault="00B5337F" w:rsidP="00135853">
      <w:pPr>
        <w:pStyle w:val="ListParagraph"/>
        <w:tabs>
          <w:tab w:val="left" w:pos="-90"/>
        </w:tabs>
        <w:spacing w:after="0" w:line="240" w:lineRule="auto"/>
        <w:ind w:left="0"/>
        <w:jc w:val="both"/>
        <w:rPr>
          <w:rFonts w:ascii="Arial Narrow" w:hAnsi="Arial Narrow"/>
        </w:rPr>
      </w:pPr>
      <w:r w:rsidRPr="00A51745">
        <w:rPr>
          <w:rFonts w:ascii="Arial Narrow" w:hAnsi="Arial Narrow"/>
          <w:noProof/>
        </w:rPr>
        <w:drawing>
          <wp:inline distT="0" distB="0" distL="0" distR="0" wp14:anchorId="45E9F62A" wp14:editId="30F3856A">
            <wp:extent cx="5943600" cy="3326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26765"/>
                    </a:xfrm>
                    <a:prstGeom prst="rect">
                      <a:avLst/>
                    </a:prstGeom>
                  </pic:spPr>
                </pic:pic>
              </a:graphicData>
            </a:graphic>
          </wp:inline>
        </w:drawing>
      </w:r>
    </w:p>
    <w:p w14:paraId="2288888B" w14:textId="77777777" w:rsidR="00135853" w:rsidRPr="00A51745" w:rsidRDefault="00135853" w:rsidP="00135853">
      <w:pPr>
        <w:pStyle w:val="ListParagraph"/>
        <w:tabs>
          <w:tab w:val="left" w:pos="-90"/>
        </w:tabs>
        <w:spacing w:after="0" w:line="240" w:lineRule="auto"/>
        <w:ind w:left="0"/>
        <w:jc w:val="both"/>
        <w:rPr>
          <w:rFonts w:ascii="Arial Narrow" w:hAnsi="Arial Narrow"/>
        </w:rPr>
      </w:pPr>
    </w:p>
    <w:p w14:paraId="6FEC022A" w14:textId="77777777" w:rsidR="007B0B9D" w:rsidRDefault="007B0B9D" w:rsidP="00135853">
      <w:pPr>
        <w:tabs>
          <w:tab w:val="left" w:pos="284"/>
        </w:tabs>
        <w:jc w:val="both"/>
        <w:rPr>
          <w:rFonts w:ascii="Arial Narrow" w:hAnsi="Arial Narrow"/>
          <w:b/>
          <w:bCs/>
        </w:rPr>
      </w:pPr>
    </w:p>
    <w:p w14:paraId="68B440ED" w14:textId="77777777" w:rsidR="007B0B9D" w:rsidRDefault="007B0B9D" w:rsidP="00135853">
      <w:pPr>
        <w:tabs>
          <w:tab w:val="left" w:pos="284"/>
        </w:tabs>
        <w:jc w:val="both"/>
        <w:rPr>
          <w:rFonts w:ascii="Arial Narrow" w:hAnsi="Arial Narrow"/>
          <w:b/>
          <w:bCs/>
        </w:rPr>
      </w:pPr>
    </w:p>
    <w:p w14:paraId="36C63EC7" w14:textId="77777777" w:rsidR="007B0B9D" w:rsidRDefault="007B0B9D" w:rsidP="00135853">
      <w:pPr>
        <w:tabs>
          <w:tab w:val="left" w:pos="284"/>
        </w:tabs>
        <w:jc w:val="both"/>
        <w:rPr>
          <w:rFonts w:ascii="Arial Narrow" w:hAnsi="Arial Narrow"/>
          <w:b/>
          <w:bCs/>
        </w:rPr>
      </w:pPr>
    </w:p>
    <w:p w14:paraId="6BFA9161" w14:textId="77777777" w:rsidR="007B0B9D" w:rsidRDefault="007B0B9D" w:rsidP="00135853">
      <w:pPr>
        <w:tabs>
          <w:tab w:val="left" w:pos="284"/>
        </w:tabs>
        <w:jc w:val="both"/>
        <w:rPr>
          <w:rFonts w:ascii="Arial Narrow" w:hAnsi="Arial Narrow"/>
          <w:b/>
          <w:bCs/>
        </w:rPr>
      </w:pPr>
    </w:p>
    <w:p w14:paraId="7AA5882E" w14:textId="77777777" w:rsidR="007B0B9D" w:rsidRDefault="007B0B9D" w:rsidP="00135853">
      <w:pPr>
        <w:tabs>
          <w:tab w:val="left" w:pos="284"/>
        </w:tabs>
        <w:jc w:val="both"/>
        <w:rPr>
          <w:rFonts w:ascii="Arial Narrow" w:hAnsi="Arial Narrow"/>
          <w:b/>
          <w:bCs/>
        </w:rPr>
      </w:pPr>
    </w:p>
    <w:p w14:paraId="6AEAF00B" w14:textId="4EFE17E1" w:rsidR="00135853" w:rsidRPr="00A51745" w:rsidRDefault="00135853" w:rsidP="00135853">
      <w:pPr>
        <w:tabs>
          <w:tab w:val="left" w:pos="284"/>
        </w:tabs>
        <w:jc w:val="both"/>
        <w:rPr>
          <w:rFonts w:ascii="Arial Narrow" w:hAnsi="Arial Narrow"/>
        </w:rPr>
      </w:pPr>
      <w:r w:rsidRPr="00A51745">
        <w:rPr>
          <w:rFonts w:ascii="Arial Narrow" w:hAnsi="Arial Narrow"/>
          <w:b/>
          <w:bCs/>
        </w:rPr>
        <w:t>Data de Vigência</w:t>
      </w:r>
      <w:r w:rsidRPr="00A51745">
        <w:rPr>
          <w:rFonts w:ascii="Arial Narrow" w:hAnsi="Arial Narrow"/>
        </w:rPr>
        <w:t xml:space="preserve">: </w:t>
      </w:r>
      <w:r w:rsidR="00B5337F" w:rsidRPr="00A51745">
        <w:rPr>
          <w:rFonts w:ascii="Arial Narrow" w:hAnsi="Arial Narrow"/>
        </w:rPr>
        <w:t xml:space="preserve"> </w:t>
      </w:r>
      <w:r w:rsidR="00BD6C9A">
        <w:rPr>
          <w:rFonts w:ascii="Arial Narrow" w:hAnsi="Arial Narrow"/>
        </w:rPr>
        <w:t xml:space="preserve">31 de Dezembro </w:t>
      </w:r>
      <w:r w:rsidR="00B5337F" w:rsidRPr="00A51745">
        <w:rPr>
          <w:rFonts w:ascii="Arial Narrow" w:hAnsi="Arial Narrow"/>
        </w:rPr>
        <w:t>de 2022</w:t>
      </w:r>
    </w:p>
    <w:p w14:paraId="5207D500" w14:textId="04E6E77C" w:rsidR="00135853" w:rsidRPr="00A51745" w:rsidRDefault="007D745B" w:rsidP="000C304B">
      <w:pPr>
        <w:pStyle w:val="ListParagraph"/>
        <w:tabs>
          <w:tab w:val="left" w:pos="-90"/>
        </w:tabs>
        <w:spacing w:after="0" w:line="240" w:lineRule="auto"/>
        <w:ind w:left="0"/>
        <w:jc w:val="both"/>
        <w:rPr>
          <w:rFonts w:ascii="Arial Narrow" w:hAnsi="Arial Narrow"/>
          <w:lang w:eastAsia="en-US"/>
        </w:rPr>
      </w:pPr>
      <w:r w:rsidRPr="00A51745">
        <w:rPr>
          <w:rFonts w:ascii="Arial Narrow" w:hAnsi="Arial Narrow"/>
          <w:b/>
          <w:bCs/>
          <w:lang w:eastAsia="en-US"/>
        </w:rPr>
        <w:t>Última revisão</w:t>
      </w:r>
      <w:r w:rsidRPr="00A51745">
        <w:rPr>
          <w:rFonts w:ascii="Arial Narrow" w:hAnsi="Arial Narrow"/>
          <w:lang w:eastAsia="en-US"/>
        </w:rPr>
        <w:t xml:space="preserve">: </w:t>
      </w:r>
      <w:r w:rsidR="00BD6C9A">
        <w:rPr>
          <w:rFonts w:ascii="Arial Narrow" w:hAnsi="Arial Narrow"/>
          <w:lang w:eastAsia="en-US"/>
        </w:rPr>
        <w:t>Dezembro</w:t>
      </w:r>
      <w:r w:rsidR="00B5337F" w:rsidRPr="00A51745">
        <w:rPr>
          <w:rFonts w:ascii="Arial Narrow" w:hAnsi="Arial Narrow"/>
          <w:lang w:eastAsia="en-US"/>
        </w:rPr>
        <w:t>/2022</w:t>
      </w:r>
    </w:p>
    <w:p w14:paraId="11833659" w14:textId="77777777" w:rsidR="00135853" w:rsidRPr="00A51745" w:rsidRDefault="00135853" w:rsidP="000C304B">
      <w:pPr>
        <w:tabs>
          <w:tab w:val="left" w:pos="284"/>
        </w:tabs>
        <w:jc w:val="both"/>
        <w:rPr>
          <w:rFonts w:ascii="Arial Narrow" w:hAnsi="Arial Narrow"/>
          <w:bCs/>
          <w:sz w:val="20"/>
        </w:rPr>
      </w:pPr>
    </w:p>
    <w:p w14:paraId="0E4C21EF" w14:textId="43E735FB" w:rsidR="000D1CD2" w:rsidRDefault="000D1CD2" w:rsidP="000C304B">
      <w:pPr>
        <w:tabs>
          <w:tab w:val="left" w:pos="284"/>
        </w:tabs>
        <w:jc w:val="both"/>
        <w:rPr>
          <w:rFonts w:ascii="Arial Narrow" w:hAnsi="Arial Narrow"/>
          <w:bCs/>
          <w:sz w:val="20"/>
        </w:rPr>
      </w:pPr>
    </w:p>
    <w:p w14:paraId="180EBC5F" w14:textId="085D485B" w:rsidR="00BD6C9A" w:rsidRDefault="00BD6C9A" w:rsidP="000C304B">
      <w:pPr>
        <w:tabs>
          <w:tab w:val="left" w:pos="284"/>
        </w:tabs>
        <w:jc w:val="both"/>
        <w:rPr>
          <w:rFonts w:ascii="Arial Narrow" w:hAnsi="Arial Narrow"/>
          <w:bCs/>
          <w:sz w:val="20"/>
        </w:rPr>
      </w:pPr>
    </w:p>
    <w:p w14:paraId="4493C126" w14:textId="7365A2E0" w:rsidR="00BD6C9A" w:rsidRDefault="00BD6C9A" w:rsidP="000C304B">
      <w:pPr>
        <w:tabs>
          <w:tab w:val="left" w:pos="284"/>
        </w:tabs>
        <w:jc w:val="both"/>
        <w:rPr>
          <w:rFonts w:ascii="Arial Narrow" w:hAnsi="Arial Narrow"/>
          <w:bCs/>
          <w:sz w:val="20"/>
        </w:rPr>
      </w:pPr>
    </w:p>
    <w:p w14:paraId="1D265494" w14:textId="77777777" w:rsidR="00BD6C9A" w:rsidRPr="00A51745" w:rsidRDefault="00BD6C9A" w:rsidP="000C304B">
      <w:pPr>
        <w:tabs>
          <w:tab w:val="left" w:pos="284"/>
        </w:tabs>
        <w:jc w:val="both"/>
        <w:rPr>
          <w:rFonts w:ascii="Arial Narrow" w:hAnsi="Arial Narrow"/>
          <w:bCs/>
          <w:sz w:val="20"/>
        </w:rPr>
      </w:pPr>
    </w:p>
    <w:p w14:paraId="229A999E" w14:textId="77777777" w:rsidR="002B5D48" w:rsidRPr="00A51745" w:rsidRDefault="002B5D48" w:rsidP="002B5D48">
      <w:pPr>
        <w:tabs>
          <w:tab w:val="left" w:pos="284"/>
        </w:tabs>
        <w:jc w:val="both"/>
        <w:rPr>
          <w:rFonts w:ascii="Arial Narrow" w:hAnsi="Arial Narrow"/>
          <w:b/>
          <w:sz w:val="28"/>
          <w:szCs w:val="28"/>
          <w:u w:val="single"/>
          <w:lang w:eastAsia="zh-CN"/>
        </w:rPr>
      </w:pPr>
      <w:r w:rsidRPr="00A51745">
        <w:rPr>
          <w:rFonts w:ascii="Arial Narrow" w:hAnsi="Arial Narrow"/>
          <w:b/>
          <w:sz w:val="28"/>
          <w:szCs w:val="28"/>
          <w:u w:val="single"/>
          <w:lang w:eastAsia="zh-CN"/>
        </w:rPr>
        <w:t>Apêndice</w:t>
      </w:r>
    </w:p>
    <w:p w14:paraId="2003F5A7" w14:textId="77777777" w:rsidR="002B5D48" w:rsidRPr="00A51745" w:rsidRDefault="002B5D48" w:rsidP="002B5D48">
      <w:pPr>
        <w:tabs>
          <w:tab w:val="left" w:pos="284"/>
        </w:tabs>
        <w:jc w:val="both"/>
        <w:rPr>
          <w:rFonts w:ascii="Arial Narrow" w:hAnsi="Arial Narrow"/>
        </w:rPr>
      </w:pPr>
    </w:p>
    <w:p w14:paraId="52F3C46F" w14:textId="77777777" w:rsidR="002B5D48" w:rsidRPr="00A51745" w:rsidRDefault="002B5D48" w:rsidP="002B5D48">
      <w:pPr>
        <w:tabs>
          <w:tab w:val="left" w:pos="284"/>
        </w:tabs>
        <w:jc w:val="both"/>
        <w:rPr>
          <w:rFonts w:ascii="Arial Narrow" w:hAnsi="Arial Narrow"/>
        </w:rPr>
      </w:pPr>
    </w:p>
    <w:p w14:paraId="06E75D0E" w14:textId="006C1997" w:rsidR="000C304B" w:rsidRPr="00A51745" w:rsidRDefault="002B5D48" w:rsidP="002B5D48">
      <w:pPr>
        <w:tabs>
          <w:tab w:val="left" w:pos="284"/>
        </w:tabs>
        <w:jc w:val="both"/>
        <w:rPr>
          <w:rFonts w:ascii="Arial Narrow" w:hAnsi="Arial Narrow"/>
        </w:rPr>
      </w:pPr>
      <w:r w:rsidRPr="00A51745">
        <w:rPr>
          <w:rFonts w:ascii="Arial Narrow" w:hAnsi="Arial Narrow"/>
        </w:rPr>
        <w:t xml:space="preserve">Anexo da Política de Gerenciamento de Riscos do Brasil, que apresenta os limites de risco dos fundos geridos pela </w:t>
      </w:r>
      <w:r w:rsidR="008661FB" w:rsidRPr="00A51745">
        <w:rPr>
          <w:rFonts w:ascii="Arial Narrow" w:hAnsi="Arial Narrow"/>
        </w:rPr>
        <w:t>abrdn</w:t>
      </w:r>
      <w:r w:rsidRPr="00A51745">
        <w:rPr>
          <w:rFonts w:ascii="Arial Narrow" w:hAnsi="Arial Narrow"/>
        </w:rPr>
        <w:t xml:space="preserve"> Brasil </w:t>
      </w:r>
      <w:r w:rsidR="008661FB" w:rsidRPr="00A51745">
        <w:rPr>
          <w:rFonts w:ascii="Arial Narrow" w:hAnsi="Arial Narrow"/>
        </w:rPr>
        <w:t xml:space="preserve">Investimentos </w:t>
      </w:r>
      <w:r w:rsidRPr="00A51745">
        <w:rPr>
          <w:rFonts w:ascii="Arial Narrow" w:hAnsi="Arial Narrow"/>
        </w:rPr>
        <w:t xml:space="preserve"> LTDA. Este apêndice é revisado regularmente.</w:t>
      </w:r>
    </w:p>
    <w:p w14:paraId="42464E06" w14:textId="1E2C1FE9" w:rsidR="000C304B" w:rsidRPr="00A51745" w:rsidRDefault="000C304B" w:rsidP="000C304B">
      <w:pPr>
        <w:tabs>
          <w:tab w:val="left" w:pos="284"/>
        </w:tabs>
        <w:jc w:val="both"/>
        <w:rPr>
          <w:rFonts w:ascii="Arial Narrow" w:hAnsi="Arial Narrow"/>
          <w:bCs/>
          <w:sz w:val="20"/>
        </w:rPr>
      </w:pPr>
    </w:p>
    <w:p w14:paraId="0A239D28" w14:textId="2BC752BD" w:rsidR="002B5D48" w:rsidRPr="00A51745" w:rsidRDefault="00D24262" w:rsidP="002B5D48">
      <w:pPr>
        <w:pStyle w:val="ListParagraph"/>
        <w:tabs>
          <w:tab w:val="left" w:pos="-90"/>
        </w:tabs>
        <w:spacing w:after="0" w:line="240" w:lineRule="auto"/>
        <w:ind w:left="0"/>
        <w:jc w:val="both"/>
        <w:rPr>
          <w:rFonts w:ascii="Arial Narrow" w:hAnsi="Arial Narrow" w:cs="Arial"/>
        </w:rPr>
      </w:pPr>
      <w:r w:rsidRPr="00A51745">
        <w:rPr>
          <w:rFonts w:ascii="Arial Narrow" w:hAnsi="Arial Narrow"/>
        </w:rPr>
        <w:t xml:space="preserve">Os limites expressos em contratos ou documentos do fundo (regulamento) não serão apresentados neste </w:t>
      </w:r>
      <w:r w:rsidR="007B6159" w:rsidRPr="00A51745">
        <w:rPr>
          <w:rFonts w:ascii="Arial Narrow" w:hAnsi="Arial Narrow"/>
        </w:rPr>
        <w:t xml:space="preserve">Apêndice. </w:t>
      </w:r>
    </w:p>
    <w:p w14:paraId="1350C4FA" w14:textId="77777777" w:rsidR="002B5D48" w:rsidRPr="00A51745" w:rsidRDefault="002B5D48" w:rsidP="002B5D48">
      <w:pPr>
        <w:pStyle w:val="ListParagraph"/>
        <w:tabs>
          <w:tab w:val="left" w:pos="-90"/>
        </w:tabs>
        <w:spacing w:after="0" w:line="240" w:lineRule="auto"/>
        <w:ind w:left="0"/>
        <w:jc w:val="both"/>
        <w:rPr>
          <w:rFonts w:ascii="Arial Narrow" w:hAnsi="Arial Narrow"/>
        </w:rPr>
      </w:pPr>
      <w:r w:rsidRPr="00A51745">
        <w:rPr>
          <w:rFonts w:ascii="Arial Narrow" w:hAnsi="Arial Narrow" w:cs="Arial"/>
        </w:rPr>
        <w:t xml:space="preserve"> </w:t>
      </w:r>
    </w:p>
    <w:p w14:paraId="1CA15C33" w14:textId="77777777" w:rsidR="002B5D48" w:rsidRPr="00A51745" w:rsidRDefault="002B5D48" w:rsidP="002B5D48">
      <w:pPr>
        <w:tabs>
          <w:tab w:val="left" w:pos="284"/>
        </w:tabs>
        <w:jc w:val="both"/>
        <w:rPr>
          <w:rFonts w:ascii="Arial Narrow" w:hAnsi="Arial Narrow"/>
        </w:rPr>
      </w:pPr>
    </w:p>
    <w:tbl>
      <w:tblPr>
        <w:tblW w:w="10603" w:type="dxa"/>
        <w:tblInd w:w="-280" w:type="dxa"/>
        <w:tblCellMar>
          <w:left w:w="0" w:type="dxa"/>
          <w:right w:w="0" w:type="dxa"/>
        </w:tblCellMar>
        <w:tblLook w:val="04A0" w:firstRow="1" w:lastRow="0" w:firstColumn="1" w:lastColumn="0" w:noHBand="0" w:noVBand="1"/>
      </w:tblPr>
      <w:tblGrid>
        <w:gridCol w:w="2331"/>
        <w:gridCol w:w="1721"/>
        <w:gridCol w:w="1356"/>
        <w:gridCol w:w="1550"/>
        <w:gridCol w:w="1391"/>
        <w:gridCol w:w="2254"/>
      </w:tblGrid>
      <w:tr w:rsidR="007B0B9D" w:rsidRPr="00A51745" w14:paraId="22304B2A" w14:textId="77777777" w:rsidTr="008F1DAF">
        <w:trPr>
          <w:trHeight w:val="281"/>
        </w:trPr>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ADEE6" w14:textId="1FF71139" w:rsidR="002B5D48" w:rsidRPr="00A51745" w:rsidRDefault="002B5D48" w:rsidP="005F7318">
            <w:pPr>
              <w:jc w:val="center"/>
              <w:rPr>
                <w:rFonts w:ascii="Arial Narrow" w:hAnsi="Arial Narrow"/>
              </w:rPr>
            </w:pPr>
            <w:bookmarkStart w:id="7" w:name="_Toc227728759"/>
            <w:bookmarkStart w:id="8" w:name="_Toc227729286"/>
            <w:bookmarkStart w:id="9" w:name="_Toc227729314"/>
            <w:bookmarkStart w:id="10" w:name="_Toc227729342"/>
            <w:bookmarkStart w:id="11" w:name="_Toc227729400"/>
            <w:bookmarkStart w:id="12" w:name="_Toc227729500"/>
            <w:bookmarkStart w:id="13" w:name="_Toc227729536"/>
            <w:bookmarkStart w:id="14" w:name="_Toc227656396"/>
            <w:bookmarkEnd w:id="7"/>
            <w:bookmarkEnd w:id="8"/>
            <w:bookmarkEnd w:id="9"/>
            <w:bookmarkEnd w:id="10"/>
            <w:bookmarkEnd w:id="11"/>
            <w:bookmarkEnd w:id="12"/>
            <w:bookmarkEnd w:id="13"/>
            <w:bookmarkEnd w:id="14"/>
            <w:r w:rsidRPr="00A51745">
              <w:rPr>
                <w:rFonts w:ascii="Arial Narrow" w:hAnsi="Arial Narrow"/>
              </w:rPr>
              <w:t>Fundo</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261D9C" w14:textId="577DC90C" w:rsidR="002B5D48" w:rsidRPr="00A51745" w:rsidRDefault="002B5D48" w:rsidP="002B5D48">
            <w:pPr>
              <w:jc w:val="center"/>
              <w:rPr>
                <w:rFonts w:ascii="Arial Narrow" w:hAnsi="Arial Narrow"/>
              </w:rPr>
            </w:pPr>
            <w:r w:rsidRPr="00A51745">
              <w:rPr>
                <w:rFonts w:ascii="Arial Narrow" w:hAnsi="Arial Narrow"/>
              </w:rPr>
              <w:t>Métrica</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4AAD7B" w14:textId="5895C1E0" w:rsidR="002B5D48" w:rsidRPr="00A51745" w:rsidRDefault="00356520" w:rsidP="00356520">
            <w:pPr>
              <w:jc w:val="center"/>
              <w:rPr>
                <w:rFonts w:ascii="Arial Narrow" w:hAnsi="Arial Narrow"/>
              </w:rPr>
            </w:pPr>
            <w:r w:rsidRPr="009C22E0">
              <w:rPr>
                <w:rFonts w:ascii="Arial Narrow" w:hAnsi="Arial Narrow"/>
              </w:rPr>
              <w:t>Limite</w:t>
            </w:r>
            <w:r w:rsidR="009C22E0" w:rsidRPr="009C22E0">
              <w:rPr>
                <w:rFonts w:ascii="Arial Narrow" w:hAnsi="Arial Narrow"/>
              </w:rPr>
              <w:t xml:space="preserve"> (em USD)</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EE3049" w14:textId="08AA540A" w:rsidR="002B5D48" w:rsidRPr="00A51745" w:rsidRDefault="002B5D48" w:rsidP="005F7318">
            <w:pPr>
              <w:jc w:val="center"/>
              <w:rPr>
                <w:rFonts w:ascii="Arial Narrow" w:hAnsi="Arial Narrow"/>
              </w:rPr>
            </w:pPr>
            <w:r w:rsidRPr="00A51745">
              <w:rPr>
                <w:rFonts w:ascii="Arial Narrow" w:hAnsi="Arial Narrow"/>
              </w:rPr>
              <w:t>Referência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BF29E0" w14:textId="3598C0C0" w:rsidR="002B5D48" w:rsidRPr="00A51745" w:rsidRDefault="002B5D48" w:rsidP="002B5D48">
            <w:pPr>
              <w:jc w:val="center"/>
              <w:rPr>
                <w:rFonts w:ascii="Arial Narrow" w:hAnsi="Arial Narrow"/>
              </w:rPr>
            </w:pPr>
            <w:r w:rsidRPr="00A51745">
              <w:rPr>
                <w:rFonts w:ascii="Arial Narrow" w:hAnsi="Arial Narrow"/>
              </w:rPr>
              <w:t>Número de dias</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B6498C" w14:textId="51392A9F" w:rsidR="002B5D48" w:rsidRPr="00A51745" w:rsidRDefault="002B5D48" w:rsidP="002B5D48">
            <w:pPr>
              <w:jc w:val="center"/>
              <w:rPr>
                <w:rFonts w:ascii="Arial Narrow" w:hAnsi="Arial Narrow"/>
              </w:rPr>
            </w:pPr>
            <w:r w:rsidRPr="00A51745">
              <w:rPr>
                <w:rFonts w:ascii="Arial Narrow" w:hAnsi="Arial Narrow"/>
              </w:rPr>
              <w:t>Comentários</w:t>
            </w:r>
          </w:p>
        </w:tc>
      </w:tr>
      <w:tr w:rsidR="007B0B9D" w:rsidRPr="00A51745" w14:paraId="3634BB02" w14:textId="77777777" w:rsidTr="008F1DAF">
        <w:trPr>
          <w:trHeight w:val="816"/>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052CA" w14:textId="4E1E54A7" w:rsidR="002B5D48" w:rsidRPr="00A51745" w:rsidRDefault="008661FB" w:rsidP="00356520">
            <w:pPr>
              <w:jc w:val="center"/>
              <w:rPr>
                <w:rFonts w:ascii="Arial Narrow" w:hAnsi="Arial Narrow"/>
              </w:rPr>
            </w:pPr>
            <w:r w:rsidRPr="00A51745">
              <w:rPr>
                <w:rFonts w:ascii="Arial Narrow" w:hAnsi="Arial Narrow"/>
              </w:rPr>
              <w:t>abrdn</w:t>
            </w:r>
            <w:r w:rsidR="002B5D48" w:rsidRPr="00A51745">
              <w:rPr>
                <w:rFonts w:ascii="Arial Narrow" w:hAnsi="Arial Narrow"/>
              </w:rPr>
              <w:t xml:space="preserve"> </w:t>
            </w:r>
            <w:proofErr w:type="spellStart"/>
            <w:r w:rsidR="002B5D48" w:rsidRPr="00A51745">
              <w:rPr>
                <w:rFonts w:ascii="Arial Narrow" w:hAnsi="Arial Narrow"/>
              </w:rPr>
              <w:t>Fapes</w:t>
            </w:r>
            <w:proofErr w:type="spellEnd"/>
            <w:r w:rsidR="002B5D48" w:rsidRPr="00A51745">
              <w:rPr>
                <w:rFonts w:ascii="Arial Narrow" w:hAnsi="Arial Narrow"/>
              </w:rPr>
              <w:t xml:space="preserve"> Fundo de Investimento Multimercado Investimento no Exterior</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4E2A1" w14:textId="39C9E13E" w:rsidR="002B5D48" w:rsidRPr="00A51745" w:rsidRDefault="002B5D48" w:rsidP="002B5D48">
            <w:pPr>
              <w:jc w:val="center"/>
              <w:rPr>
                <w:rFonts w:ascii="Arial Narrow" w:hAnsi="Arial Narrow"/>
              </w:rPr>
            </w:pPr>
            <w:r w:rsidRPr="00A51745">
              <w:rPr>
                <w:rFonts w:ascii="Arial Narrow" w:hAnsi="Arial Narrow"/>
              </w:rPr>
              <w:t>Volatilidade/desvio padrão</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70CC3" w14:textId="77777777" w:rsidR="002B5D48" w:rsidRPr="00A51745" w:rsidRDefault="002B5D48" w:rsidP="005F7318">
            <w:pPr>
              <w:jc w:val="center"/>
              <w:rPr>
                <w:rFonts w:ascii="Arial Narrow" w:hAnsi="Arial Narrow"/>
              </w:rPr>
            </w:pPr>
            <w:r w:rsidRPr="00A51745">
              <w:rPr>
                <w:rFonts w:ascii="Arial Narrow" w:hAnsi="Arial Narrow"/>
              </w:rPr>
              <w:t>20%</w:t>
            </w:r>
          </w:p>
        </w:tc>
        <w:tc>
          <w:tcPr>
            <w:tcW w:w="1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15940" w14:textId="7C235B4E" w:rsidR="002B5D48" w:rsidRPr="00A51745" w:rsidRDefault="002B5D48" w:rsidP="002B5D48">
            <w:pPr>
              <w:jc w:val="center"/>
              <w:rPr>
                <w:rFonts w:ascii="Arial Narrow" w:hAnsi="Arial Narrow"/>
              </w:rPr>
            </w:pPr>
            <w:r w:rsidRPr="00A51745">
              <w:rPr>
                <w:rFonts w:ascii="Arial Narrow" w:hAnsi="Arial Narrow"/>
              </w:rPr>
              <w:t>Patrimônio Líquido do fundo</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9BFDF" w14:textId="77777777" w:rsidR="002B5D48" w:rsidRPr="00A51745" w:rsidRDefault="002B5D48" w:rsidP="005F7318">
            <w:pPr>
              <w:jc w:val="center"/>
              <w:rPr>
                <w:rFonts w:ascii="Arial Narrow" w:hAnsi="Arial Narrow"/>
              </w:rPr>
            </w:pPr>
            <w:r w:rsidRPr="00A51745">
              <w:rPr>
                <w:rFonts w:ascii="Arial Narrow" w:hAnsi="Arial Narrow"/>
              </w:rPr>
              <w:t>252</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29CC3" w14:textId="2A1EF9FC" w:rsidR="002B5D48" w:rsidRPr="00A51745" w:rsidRDefault="002B5D48" w:rsidP="00356520">
            <w:pPr>
              <w:jc w:val="center"/>
              <w:rPr>
                <w:rFonts w:ascii="Arial Narrow" w:hAnsi="Arial Narrow"/>
              </w:rPr>
            </w:pPr>
            <w:r w:rsidRPr="00A51745">
              <w:rPr>
                <w:rFonts w:ascii="Arial Narrow" w:hAnsi="Arial Narrow"/>
              </w:rPr>
              <w:t>Me</w:t>
            </w:r>
            <w:r w:rsidR="00F811E1" w:rsidRPr="00A51745">
              <w:rPr>
                <w:rFonts w:ascii="Arial Narrow" w:hAnsi="Arial Narrow"/>
              </w:rPr>
              <w:t xml:space="preserve">de a volatilidade anual </w:t>
            </w:r>
            <w:proofErr w:type="spellStart"/>
            <w:r w:rsidR="00F811E1" w:rsidRPr="00A51745">
              <w:rPr>
                <w:rFonts w:ascii="Arial Narrow" w:hAnsi="Arial Narrow"/>
              </w:rPr>
              <w:t>ex</w:t>
            </w:r>
            <w:proofErr w:type="spellEnd"/>
            <w:r w:rsidR="00F811E1" w:rsidRPr="00A51745">
              <w:rPr>
                <w:rFonts w:ascii="Arial Narrow" w:hAnsi="Arial Narrow"/>
              </w:rPr>
              <w:t xml:space="preserve"> post </w:t>
            </w:r>
            <w:r w:rsidR="007B0B9D" w:rsidRPr="00A51745">
              <w:rPr>
                <w:rFonts w:ascii="Arial Narrow" w:hAnsi="Arial Narrow"/>
              </w:rPr>
              <w:t>cont</w:t>
            </w:r>
            <w:r w:rsidR="007B0B9D">
              <w:rPr>
                <w:rFonts w:ascii="Arial Narrow" w:hAnsi="Arial Narrow"/>
              </w:rPr>
              <w:t>í</w:t>
            </w:r>
            <w:r w:rsidR="007B0B9D" w:rsidRPr="00A51745">
              <w:rPr>
                <w:rFonts w:ascii="Arial Narrow" w:hAnsi="Arial Narrow"/>
              </w:rPr>
              <w:t>nua</w:t>
            </w:r>
            <w:r w:rsidR="00F811E1" w:rsidRPr="00A51745">
              <w:rPr>
                <w:rFonts w:ascii="Arial Narrow" w:hAnsi="Arial Narrow"/>
              </w:rPr>
              <w:t xml:space="preserve"> do fundo.</w:t>
            </w:r>
            <w:r w:rsidRPr="00A51745">
              <w:rPr>
                <w:rFonts w:ascii="Arial Narrow" w:hAnsi="Arial Narrow"/>
              </w:rPr>
              <w:t xml:space="preserve"> </w:t>
            </w:r>
            <w:r w:rsidR="00AF55A4" w:rsidRPr="00A51745">
              <w:rPr>
                <w:rFonts w:ascii="Arial Narrow" w:hAnsi="Arial Narrow"/>
              </w:rPr>
              <w:t>Este limite é flexível</w:t>
            </w:r>
            <w:r w:rsidRPr="00A51745">
              <w:rPr>
                <w:rFonts w:ascii="Arial Narrow" w:hAnsi="Arial Narrow"/>
              </w:rPr>
              <w:t>.</w:t>
            </w:r>
          </w:p>
        </w:tc>
      </w:tr>
    </w:tbl>
    <w:p w14:paraId="73B5EC76" w14:textId="253D587D" w:rsidR="000C304B" w:rsidRPr="00A51745" w:rsidRDefault="000C304B" w:rsidP="000C304B">
      <w:pPr>
        <w:tabs>
          <w:tab w:val="left" w:pos="284"/>
        </w:tabs>
        <w:jc w:val="both"/>
        <w:rPr>
          <w:rFonts w:ascii="Arial Narrow" w:hAnsi="Arial Narrow"/>
          <w:bCs/>
          <w:sz w:val="20"/>
        </w:rPr>
      </w:pPr>
    </w:p>
    <w:p w14:paraId="3D78835C" w14:textId="535432FE" w:rsidR="000C304B" w:rsidRPr="00A51745" w:rsidRDefault="000C304B" w:rsidP="000C304B">
      <w:pPr>
        <w:tabs>
          <w:tab w:val="left" w:pos="284"/>
        </w:tabs>
        <w:jc w:val="both"/>
        <w:rPr>
          <w:rFonts w:ascii="Arial Narrow" w:hAnsi="Arial Narrow"/>
          <w:bCs/>
          <w:sz w:val="20"/>
        </w:rPr>
      </w:pPr>
    </w:p>
    <w:p w14:paraId="60351A8E" w14:textId="7048A315" w:rsidR="000C304B" w:rsidRPr="00A51745" w:rsidRDefault="000C304B" w:rsidP="000C304B">
      <w:pPr>
        <w:tabs>
          <w:tab w:val="left" w:pos="284"/>
        </w:tabs>
        <w:jc w:val="both"/>
        <w:rPr>
          <w:rFonts w:ascii="Arial Narrow" w:hAnsi="Arial Narrow"/>
          <w:bCs/>
          <w:sz w:val="20"/>
        </w:rPr>
      </w:pPr>
    </w:p>
    <w:p w14:paraId="2DA5533E" w14:textId="3A7739AE" w:rsidR="000C304B" w:rsidRPr="00A51745" w:rsidRDefault="000C304B" w:rsidP="000C304B">
      <w:pPr>
        <w:tabs>
          <w:tab w:val="left" w:pos="284"/>
        </w:tabs>
        <w:jc w:val="both"/>
        <w:rPr>
          <w:rFonts w:ascii="Arial Narrow" w:hAnsi="Arial Narrow"/>
          <w:bCs/>
          <w:sz w:val="20"/>
        </w:rPr>
      </w:pPr>
    </w:p>
    <w:p w14:paraId="0AEC9EFB" w14:textId="329BC3B3" w:rsidR="000C304B" w:rsidRPr="00A51745" w:rsidRDefault="000C304B" w:rsidP="000C304B">
      <w:pPr>
        <w:tabs>
          <w:tab w:val="left" w:pos="284"/>
        </w:tabs>
        <w:jc w:val="both"/>
        <w:rPr>
          <w:rFonts w:ascii="Arial Narrow" w:hAnsi="Arial Narrow"/>
          <w:bCs/>
          <w:sz w:val="20"/>
        </w:rPr>
      </w:pPr>
    </w:p>
    <w:p w14:paraId="70D88C41" w14:textId="3E899ADD" w:rsidR="000D1CD2" w:rsidRPr="00A51745" w:rsidRDefault="000D1CD2" w:rsidP="000C304B">
      <w:pPr>
        <w:tabs>
          <w:tab w:val="left" w:pos="284"/>
        </w:tabs>
        <w:jc w:val="both"/>
        <w:rPr>
          <w:rFonts w:ascii="Arial Narrow" w:hAnsi="Arial Narrow"/>
          <w:bCs/>
          <w:sz w:val="20"/>
        </w:rPr>
      </w:pPr>
    </w:p>
    <w:p w14:paraId="4006F6DD" w14:textId="6639494F" w:rsidR="000D1CD2" w:rsidRPr="00A51745" w:rsidRDefault="000D1CD2" w:rsidP="000C304B">
      <w:pPr>
        <w:tabs>
          <w:tab w:val="left" w:pos="284"/>
        </w:tabs>
        <w:jc w:val="both"/>
        <w:rPr>
          <w:rFonts w:ascii="Arial Narrow" w:hAnsi="Arial Narrow"/>
          <w:bCs/>
          <w:sz w:val="20"/>
        </w:rPr>
      </w:pPr>
    </w:p>
    <w:p w14:paraId="3EBE5169" w14:textId="264610B3" w:rsidR="000D1CD2" w:rsidRPr="00A51745" w:rsidRDefault="000D1CD2" w:rsidP="000C304B">
      <w:pPr>
        <w:tabs>
          <w:tab w:val="left" w:pos="284"/>
        </w:tabs>
        <w:jc w:val="both"/>
        <w:rPr>
          <w:rFonts w:ascii="Arial Narrow" w:hAnsi="Arial Narrow"/>
          <w:bCs/>
          <w:sz w:val="20"/>
        </w:rPr>
      </w:pPr>
    </w:p>
    <w:p w14:paraId="68FB578D" w14:textId="0D5AA2BA" w:rsidR="000D1CD2" w:rsidRPr="00A51745" w:rsidRDefault="000D1CD2" w:rsidP="000C304B">
      <w:pPr>
        <w:tabs>
          <w:tab w:val="left" w:pos="284"/>
        </w:tabs>
        <w:jc w:val="both"/>
        <w:rPr>
          <w:rFonts w:ascii="Arial Narrow" w:hAnsi="Arial Narrow"/>
          <w:bCs/>
          <w:sz w:val="20"/>
        </w:rPr>
      </w:pPr>
    </w:p>
    <w:p w14:paraId="69217FA0" w14:textId="452A16F5" w:rsidR="000D1CD2" w:rsidRPr="00A51745" w:rsidRDefault="000D1CD2" w:rsidP="000C304B">
      <w:pPr>
        <w:tabs>
          <w:tab w:val="left" w:pos="284"/>
        </w:tabs>
        <w:jc w:val="both"/>
        <w:rPr>
          <w:rFonts w:ascii="Arial Narrow" w:hAnsi="Arial Narrow"/>
          <w:bCs/>
          <w:sz w:val="20"/>
        </w:rPr>
      </w:pPr>
    </w:p>
    <w:p w14:paraId="7ABF9C2D" w14:textId="23D76F1F" w:rsidR="000D1CD2" w:rsidRPr="00A51745" w:rsidRDefault="000D1CD2" w:rsidP="000C304B">
      <w:pPr>
        <w:tabs>
          <w:tab w:val="left" w:pos="284"/>
        </w:tabs>
        <w:jc w:val="both"/>
        <w:rPr>
          <w:rFonts w:ascii="Arial Narrow" w:hAnsi="Arial Narrow"/>
          <w:bCs/>
          <w:sz w:val="20"/>
        </w:rPr>
      </w:pPr>
    </w:p>
    <w:p w14:paraId="1ACECD02" w14:textId="0A9B89EA" w:rsidR="000D1CD2" w:rsidRPr="00A51745" w:rsidRDefault="000D1CD2" w:rsidP="000C304B">
      <w:pPr>
        <w:tabs>
          <w:tab w:val="left" w:pos="284"/>
        </w:tabs>
        <w:jc w:val="both"/>
        <w:rPr>
          <w:rFonts w:ascii="Arial Narrow" w:hAnsi="Arial Narrow"/>
          <w:bCs/>
          <w:sz w:val="20"/>
        </w:rPr>
      </w:pPr>
    </w:p>
    <w:p w14:paraId="0C0694BA" w14:textId="73845851" w:rsidR="000D1CD2" w:rsidRPr="00A51745" w:rsidRDefault="000D1CD2" w:rsidP="000C304B">
      <w:pPr>
        <w:tabs>
          <w:tab w:val="left" w:pos="284"/>
        </w:tabs>
        <w:jc w:val="both"/>
        <w:rPr>
          <w:rFonts w:ascii="Arial Narrow" w:hAnsi="Arial Narrow"/>
          <w:bCs/>
          <w:sz w:val="20"/>
        </w:rPr>
      </w:pPr>
    </w:p>
    <w:p w14:paraId="373D16D5" w14:textId="3DA1C983" w:rsidR="000D1CD2" w:rsidRPr="00A51745" w:rsidRDefault="000D1CD2" w:rsidP="000C304B">
      <w:pPr>
        <w:tabs>
          <w:tab w:val="left" w:pos="284"/>
        </w:tabs>
        <w:jc w:val="both"/>
        <w:rPr>
          <w:rFonts w:ascii="Arial Narrow" w:hAnsi="Arial Narrow"/>
          <w:bCs/>
          <w:sz w:val="20"/>
        </w:rPr>
      </w:pPr>
    </w:p>
    <w:p w14:paraId="02BC8228" w14:textId="14D9EAA9" w:rsidR="000D1CD2" w:rsidRPr="00A51745" w:rsidRDefault="000D1CD2" w:rsidP="000C304B">
      <w:pPr>
        <w:tabs>
          <w:tab w:val="left" w:pos="284"/>
        </w:tabs>
        <w:jc w:val="both"/>
        <w:rPr>
          <w:rFonts w:ascii="Arial Narrow" w:hAnsi="Arial Narrow"/>
          <w:bCs/>
          <w:sz w:val="20"/>
        </w:rPr>
      </w:pPr>
    </w:p>
    <w:p w14:paraId="65E6551F" w14:textId="77777777" w:rsidR="000C304B" w:rsidRPr="00A51745" w:rsidRDefault="000C304B" w:rsidP="000C304B">
      <w:pPr>
        <w:tabs>
          <w:tab w:val="left" w:pos="284"/>
        </w:tabs>
        <w:jc w:val="both"/>
        <w:rPr>
          <w:rFonts w:ascii="Arial Narrow" w:hAnsi="Arial Narrow"/>
          <w:bCs/>
          <w:sz w:val="20"/>
        </w:rPr>
      </w:pPr>
    </w:p>
    <w:p w14:paraId="648B3C49" w14:textId="4C94A232" w:rsidR="000D1CD2" w:rsidRPr="00A51745" w:rsidRDefault="000D1CD2" w:rsidP="000C304B">
      <w:pPr>
        <w:tabs>
          <w:tab w:val="left" w:pos="284"/>
        </w:tabs>
        <w:jc w:val="both"/>
        <w:rPr>
          <w:rFonts w:ascii="Arial Narrow" w:hAnsi="Arial Narrow"/>
          <w:bCs/>
          <w:sz w:val="20"/>
        </w:rPr>
      </w:pPr>
    </w:p>
    <w:p w14:paraId="7D1F44A8" w14:textId="3399E1D6" w:rsidR="000D1CD2" w:rsidRPr="00A51745" w:rsidRDefault="000D1CD2" w:rsidP="000C304B">
      <w:pPr>
        <w:tabs>
          <w:tab w:val="left" w:pos="284"/>
        </w:tabs>
        <w:jc w:val="both"/>
        <w:rPr>
          <w:rFonts w:ascii="Arial Narrow" w:hAnsi="Arial Narrow"/>
          <w:bCs/>
          <w:sz w:val="20"/>
        </w:rPr>
      </w:pPr>
    </w:p>
    <w:p w14:paraId="31798B83" w14:textId="1EE9DFFB" w:rsidR="000D1CD2" w:rsidRPr="00A51745" w:rsidRDefault="000D1CD2" w:rsidP="000C304B">
      <w:pPr>
        <w:tabs>
          <w:tab w:val="left" w:pos="284"/>
        </w:tabs>
        <w:jc w:val="both"/>
        <w:rPr>
          <w:rFonts w:ascii="Arial Narrow" w:hAnsi="Arial Narrow"/>
          <w:bCs/>
          <w:sz w:val="20"/>
        </w:rPr>
      </w:pPr>
    </w:p>
    <w:p w14:paraId="0D426D4A" w14:textId="48675FD6" w:rsidR="000D1CD2" w:rsidRPr="00A51745" w:rsidRDefault="000D1CD2" w:rsidP="000C304B">
      <w:pPr>
        <w:tabs>
          <w:tab w:val="left" w:pos="284"/>
        </w:tabs>
        <w:jc w:val="both"/>
        <w:rPr>
          <w:rFonts w:ascii="Arial Narrow" w:hAnsi="Arial Narrow"/>
          <w:bCs/>
          <w:sz w:val="20"/>
        </w:rPr>
      </w:pPr>
    </w:p>
    <w:p w14:paraId="07DBFDB5" w14:textId="26F40142" w:rsidR="000D1CD2" w:rsidRPr="00A51745" w:rsidRDefault="000D1CD2" w:rsidP="000C304B">
      <w:pPr>
        <w:tabs>
          <w:tab w:val="left" w:pos="284"/>
        </w:tabs>
        <w:jc w:val="both"/>
        <w:rPr>
          <w:rFonts w:ascii="Arial Narrow" w:hAnsi="Arial Narrow"/>
          <w:sz w:val="20"/>
          <w:szCs w:val="20"/>
        </w:rPr>
      </w:pPr>
      <w:bookmarkStart w:id="15" w:name="_GoBack"/>
      <w:bookmarkEnd w:id="15"/>
    </w:p>
    <w:sectPr w:rsidR="000D1CD2" w:rsidRPr="00A51745" w:rsidSect="008F1DAF">
      <w:headerReference w:type="default" r:id="rId9"/>
      <w:footerReference w:type="default" r:id="rId10"/>
      <w:pgSz w:w="12240" w:h="15840"/>
      <w:pgMar w:top="1440" w:right="1440" w:bottom="90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0B39B" w14:textId="77777777" w:rsidR="008F1DAF" w:rsidRDefault="008F1DAF" w:rsidP="00EC56EE">
      <w:r>
        <w:separator/>
      </w:r>
    </w:p>
  </w:endnote>
  <w:endnote w:type="continuationSeparator" w:id="0">
    <w:p w14:paraId="37BA7CE5" w14:textId="77777777" w:rsidR="008F1DAF" w:rsidRDefault="008F1DAF" w:rsidP="00E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liss Light">
    <w:altName w:val="Calibri"/>
    <w:panose1 w:val="02000000000000000000"/>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harp Sans Display No1">
    <w:panose1 w:val="00000000000000000000"/>
    <w:charset w:val="00"/>
    <w:family w:val="auto"/>
    <w:pitch w:val="variable"/>
    <w:sig w:usb0="A10000EF" w:usb1="520160FB" w:usb2="00000010" w:usb3="00000000" w:csb0="00000193"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600" w:firstRow="0" w:lastRow="0" w:firstColumn="0" w:lastColumn="0" w:noHBand="1" w:noVBand="1"/>
    </w:tblPr>
    <w:tblGrid>
      <w:gridCol w:w="2410"/>
      <w:gridCol w:w="3968"/>
      <w:gridCol w:w="3260"/>
    </w:tblGrid>
    <w:tr w:rsidR="008F1DAF" w:rsidRPr="002475A8" w14:paraId="2920B83A" w14:textId="77777777" w:rsidTr="008F1DAF">
      <w:trPr>
        <w:trHeight w:val="1027"/>
      </w:trPr>
      <w:tc>
        <w:tcPr>
          <w:tcW w:w="2410" w:type="dxa"/>
        </w:tcPr>
        <w:p w14:paraId="652AF23E" w14:textId="77777777" w:rsidR="008F1DAF" w:rsidRPr="002475A8" w:rsidRDefault="008F1DAF" w:rsidP="00EF6E65">
          <w:pPr>
            <w:pStyle w:val="FooterGrid"/>
          </w:pPr>
          <w:bookmarkStart w:id="16" w:name="_Hlk114575591"/>
        </w:p>
      </w:tc>
      <w:tc>
        <w:tcPr>
          <w:tcW w:w="3968" w:type="dxa"/>
          <w:vAlign w:val="bottom"/>
        </w:tcPr>
        <w:p w14:paraId="3B9C12EF" w14:textId="63FDCE8C" w:rsidR="008F1DAF" w:rsidRPr="007F107F" w:rsidRDefault="008F1DAF" w:rsidP="00EF6E65">
          <w:pPr>
            <w:pStyle w:val="Footer-Address"/>
            <w:rPr>
              <w:lang w:val="pt-BR"/>
            </w:rPr>
          </w:pPr>
        </w:p>
      </w:tc>
      <w:tc>
        <w:tcPr>
          <w:tcW w:w="3260" w:type="dxa"/>
          <w:vAlign w:val="bottom"/>
        </w:tcPr>
        <w:p w14:paraId="6D8F2F91" w14:textId="1AE9AC6D" w:rsidR="008F1DAF" w:rsidRPr="002475A8" w:rsidRDefault="008F1DAF" w:rsidP="00EF6E65">
          <w:pPr>
            <w:pStyle w:val="Footer-Tel"/>
          </w:pPr>
        </w:p>
      </w:tc>
    </w:tr>
    <w:tr w:rsidR="008F1DAF" w:rsidRPr="008F1DAF" w14:paraId="2482522E" w14:textId="77777777" w:rsidTr="008F1DAF">
      <w:trPr>
        <w:trHeight w:val="590"/>
      </w:trPr>
      <w:tc>
        <w:tcPr>
          <w:tcW w:w="2410" w:type="dxa"/>
          <w:tcMar>
            <w:top w:w="0" w:type="dxa"/>
            <w:left w:w="0" w:type="dxa"/>
            <w:right w:w="0" w:type="dxa"/>
          </w:tcMar>
          <w:vAlign w:val="bottom"/>
        </w:tcPr>
        <w:p w14:paraId="674847EF" w14:textId="77777777" w:rsidR="008F1DAF" w:rsidRPr="002475A8" w:rsidRDefault="008F1DAF" w:rsidP="00EF6E65">
          <w:pPr>
            <w:pStyle w:val="abrdncom"/>
          </w:pPr>
          <w:r>
            <w:rPr>
              <w:noProof/>
              <w:lang w:val="en-US" w:eastAsia="zh-CN" w:bidi="th-TH"/>
            </w:rPr>
            <w:drawing>
              <wp:anchor distT="0" distB="0" distL="114300" distR="114300" simplePos="0" relativeHeight="251661312" behindDoc="0" locked="0" layoutInCell="1" allowOverlap="1" wp14:anchorId="0C20C966" wp14:editId="60DB0533">
                <wp:simplePos x="0" y="0"/>
                <wp:positionH relativeFrom="page">
                  <wp:posOffset>0</wp:posOffset>
                </wp:positionH>
                <wp:positionV relativeFrom="page">
                  <wp:posOffset>194310</wp:posOffset>
                </wp:positionV>
                <wp:extent cx="1105200" cy="169200"/>
                <wp:effectExtent l="0" t="0" r="0"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5200" cy="169200"/>
                        </a:xfrm>
                        <a:prstGeom prst="rect">
                          <a:avLst/>
                        </a:prstGeom>
                      </pic:spPr>
                    </pic:pic>
                  </a:graphicData>
                </a:graphic>
                <wp14:sizeRelH relativeFrom="margin">
                  <wp14:pctWidth>0</wp14:pctWidth>
                </wp14:sizeRelH>
                <wp14:sizeRelV relativeFrom="margin">
                  <wp14:pctHeight>0</wp14:pctHeight>
                </wp14:sizeRelV>
              </wp:anchor>
            </w:drawing>
          </w:r>
        </w:p>
      </w:tc>
      <w:tc>
        <w:tcPr>
          <w:tcW w:w="7228" w:type="dxa"/>
          <w:gridSpan w:val="2"/>
          <w:vAlign w:val="bottom"/>
        </w:tcPr>
        <w:p w14:paraId="5AFC84DF" w14:textId="3D323DE7" w:rsidR="008F1DAF" w:rsidRPr="002475A8" w:rsidRDefault="008F1DAF" w:rsidP="00EF6E65">
          <w:pPr>
            <w:pStyle w:val="Footer-Legal"/>
          </w:pPr>
        </w:p>
      </w:tc>
    </w:tr>
    <w:tr w:rsidR="008F1DAF" w:rsidRPr="002475A8" w14:paraId="37928C65" w14:textId="77777777" w:rsidTr="00A51745">
      <w:trPr>
        <w:trHeight w:val="206"/>
      </w:trPr>
      <w:tc>
        <w:tcPr>
          <w:tcW w:w="2410" w:type="dxa"/>
          <w:tcMar>
            <w:top w:w="0" w:type="dxa"/>
            <w:left w:w="0" w:type="dxa"/>
            <w:right w:w="0" w:type="dxa"/>
          </w:tcMar>
          <w:vAlign w:val="bottom"/>
        </w:tcPr>
        <w:p w14:paraId="36976928" w14:textId="77777777" w:rsidR="008F1DAF" w:rsidRPr="00623877" w:rsidRDefault="008F1DAF" w:rsidP="00EF6E65">
          <w:pPr>
            <w:pStyle w:val="abrdncom"/>
            <w:rPr>
              <w:sz w:val="10"/>
              <w:szCs w:val="10"/>
            </w:rPr>
          </w:pPr>
        </w:p>
      </w:tc>
      <w:tc>
        <w:tcPr>
          <w:tcW w:w="7228" w:type="dxa"/>
          <w:gridSpan w:val="2"/>
          <w:vAlign w:val="bottom"/>
        </w:tcPr>
        <w:p w14:paraId="69A9F114" w14:textId="4B7D9DC2" w:rsidR="008F1DAF" w:rsidRPr="002475A8" w:rsidRDefault="008F1DAF" w:rsidP="00EF6E65">
          <w:pPr>
            <w:pStyle w:val="Footer-Legal"/>
          </w:pPr>
        </w:p>
      </w:tc>
    </w:tr>
  </w:tbl>
  <w:p w14:paraId="0F9379A5" w14:textId="1859DD32" w:rsidR="008F1DAF" w:rsidRDefault="008F1DAF">
    <w:pPr>
      <w:pStyle w:val="Footer"/>
    </w:pPr>
  </w:p>
  <w:bookmarkEnd w:id="16"/>
  <w:p w14:paraId="2C0DFAAC" w14:textId="390BAA5D" w:rsidR="008F1DAF" w:rsidRDefault="008F1DAF" w:rsidP="00864030">
    <w:pPr>
      <w:pStyle w:val="Footer"/>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4B3B" w14:textId="77777777" w:rsidR="008F1DAF" w:rsidRDefault="008F1DAF" w:rsidP="00EC56EE">
      <w:r>
        <w:separator/>
      </w:r>
    </w:p>
  </w:footnote>
  <w:footnote w:type="continuationSeparator" w:id="0">
    <w:p w14:paraId="45DA197C" w14:textId="77777777" w:rsidR="008F1DAF" w:rsidRDefault="008F1DAF" w:rsidP="00E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1881" w14:textId="7ED8674B" w:rsidR="008F1DAF" w:rsidRDefault="008F1DAF">
    <w:pPr>
      <w:pStyle w:val="Header"/>
    </w:pPr>
    <w:r w:rsidRPr="00FD612D">
      <w:rPr>
        <w:rFonts w:cs="Arial"/>
        <w:b/>
        <w:bCs/>
        <w:noProof/>
        <w:szCs w:val="20"/>
        <w:lang w:val="en-US" w:eastAsia="zh-CN"/>
      </w:rPr>
      <w:drawing>
        <wp:anchor distT="0" distB="0" distL="114300" distR="114300" simplePos="0" relativeHeight="251659264" behindDoc="1" locked="0" layoutInCell="1" allowOverlap="1" wp14:anchorId="25F42CBC" wp14:editId="126E32E3">
          <wp:simplePos x="0" y="0"/>
          <wp:positionH relativeFrom="margin">
            <wp:align>left</wp:align>
          </wp:positionH>
          <wp:positionV relativeFrom="page">
            <wp:posOffset>685800</wp:posOffset>
          </wp:positionV>
          <wp:extent cx="810000" cy="810000"/>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p w14:paraId="1F6A08B2" w14:textId="74210797" w:rsidR="008F1DAF" w:rsidRDefault="008F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A74"/>
    <w:multiLevelType w:val="hybridMultilevel"/>
    <w:tmpl w:val="90547EB2"/>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571DB"/>
    <w:multiLevelType w:val="hybridMultilevel"/>
    <w:tmpl w:val="43265F96"/>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1972"/>
    <w:multiLevelType w:val="hybridMultilevel"/>
    <w:tmpl w:val="B5F0718A"/>
    <w:lvl w:ilvl="0" w:tplc="04090005">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40DA0"/>
    <w:multiLevelType w:val="hybridMultilevel"/>
    <w:tmpl w:val="E4C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36A5B"/>
    <w:multiLevelType w:val="hybridMultilevel"/>
    <w:tmpl w:val="F384D9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046"/>
    <w:multiLevelType w:val="hybridMultilevel"/>
    <w:tmpl w:val="702E3800"/>
    <w:lvl w:ilvl="0" w:tplc="93CC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D1B9E"/>
    <w:multiLevelType w:val="hybridMultilevel"/>
    <w:tmpl w:val="76760F60"/>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23066"/>
    <w:multiLevelType w:val="hybridMultilevel"/>
    <w:tmpl w:val="000C26CA"/>
    <w:lvl w:ilvl="0" w:tplc="4126B21E">
      <w:numFmt w:val="bullet"/>
      <w:lvlText w:val="-"/>
      <w:lvlJc w:val="left"/>
      <w:pPr>
        <w:ind w:left="720" w:hanging="360"/>
      </w:pPr>
      <w:rPr>
        <w:rFonts w:ascii="Calibri" w:eastAsiaTheme="minorEastAsia" w:hAnsi="Calibri" w:cs="Calibr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82D3B"/>
    <w:multiLevelType w:val="hybridMultilevel"/>
    <w:tmpl w:val="8D6E3C0C"/>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E18C8"/>
    <w:multiLevelType w:val="hybridMultilevel"/>
    <w:tmpl w:val="B8066F0A"/>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4991"/>
    <w:multiLevelType w:val="hybridMultilevel"/>
    <w:tmpl w:val="F390A466"/>
    <w:lvl w:ilvl="0" w:tplc="DF6CC3A4">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BDB2571"/>
    <w:multiLevelType w:val="hybridMultilevel"/>
    <w:tmpl w:val="1032A2A6"/>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F72B2"/>
    <w:multiLevelType w:val="hybridMultilevel"/>
    <w:tmpl w:val="AD82CCD2"/>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527F"/>
    <w:multiLevelType w:val="hybridMultilevel"/>
    <w:tmpl w:val="5304236C"/>
    <w:lvl w:ilvl="0" w:tplc="4126B21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50A04"/>
    <w:multiLevelType w:val="hybridMultilevel"/>
    <w:tmpl w:val="F3F45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6349E"/>
    <w:multiLevelType w:val="hybridMultilevel"/>
    <w:tmpl w:val="AE7A0838"/>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682"/>
    <w:multiLevelType w:val="hybridMultilevel"/>
    <w:tmpl w:val="66785F60"/>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31AF2"/>
    <w:multiLevelType w:val="hybridMultilevel"/>
    <w:tmpl w:val="C38ECCB4"/>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E2CE7"/>
    <w:multiLevelType w:val="hybridMultilevel"/>
    <w:tmpl w:val="73529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90109"/>
    <w:multiLevelType w:val="hybridMultilevel"/>
    <w:tmpl w:val="EBA49C24"/>
    <w:lvl w:ilvl="0" w:tplc="DB20ED52">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D02248"/>
    <w:multiLevelType w:val="hybridMultilevel"/>
    <w:tmpl w:val="DD1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76E2D"/>
    <w:multiLevelType w:val="hybridMultilevel"/>
    <w:tmpl w:val="F6DE54EE"/>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C1A82"/>
    <w:multiLevelType w:val="hybridMultilevel"/>
    <w:tmpl w:val="5C0A691E"/>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14385"/>
    <w:multiLevelType w:val="hybridMultilevel"/>
    <w:tmpl w:val="0EEA7B2C"/>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F6D04"/>
    <w:multiLevelType w:val="hybridMultilevel"/>
    <w:tmpl w:val="E3689154"/>
    <w:lvl w:ilvl="0" w:tplc="04090005">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75294"/>
    <w:multiLevelType w:val="hybridMultilevel"/>
    <w:tmpl w:val="1DDE32C6"/>
    <w:lvl w:ilvl="0" w:tplc="555AC950">
      <w:start w:val="1"/>
      <w:numFmt w:val="lowerLetter"/>
      <w:lvlText w:val="%1)"/>
      <w:lvlJc w:val="left"/>
      <w:pPr>
        <w:ind w:left="4320" w:hanging="360"/>
      </w:pPr>
      <w:rPr>
        <w:b w:val="0"/>
        <w:bCs w:val="0"/>
        <w:color w:val="auto"/>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26" w15:restartNumberingAfterBreak="0">
    <w:nsid w:val="53D978C9"/>
    <w:multiLevelType w:val="hybridMultilevel"/>
    <w:tmpl w:val="DCF664AE"/>
    <w:lvl w:ilvl="0" w:tplc="4126B21E">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5556FBB"/>
    <w:multiLevelType w:val="hybridMultilevel"/>
    <w:tmpl w:val="77625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AE6673"/>
    <w:multiLevelType w:val="hybridMultilevel"/>
    <w:tmpl w:val="7F64B4DC"/>
    <w:lvl w:ilvl="0" w:tplc="525887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CA3F15"/>
    <w:multiLevelType w:val="hybridMultilevel"/>
    <w:tmpl w:val="8D3838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E737FC"/>
    <w:multiLevelType w:val="hybridMultilevel"/>
    <w:tmpl w:val="1B5E2A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F372D"/>
    <w:multiLevelType w:val="hybridMultilevel"/>
    <w:tmpl w:val="075A5854"/>
    <w:lvl w:ilvl="0" w:tplc="4126B21E">
      <w:numFmt w:val="bullet"/>
      <w:lvlText w:val="-"/>
      <w:lvlJc w:val="left"/>
      <w:pPr>
        <w:ind w:left="720" w:hanging="360"/>
      </w:pPr>
      <w:rPr>
        <w:rFonts w:ascii="Calibri" w:eastAsiaTheme="minorEastAsia" w:hAnsi="Calibri" w:cs="Calibr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D384C"/>
    <w:multiLevelType w:val="hybridMultilevel"/>
    <w:tmpl w:val="F1AA884E"/>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72F33"/>
    <w:multiLevelType w:val="hybridMultilevel"/>
    <w:tmpl w:val="270A3440"/>
    <w:lvl w:ilvl="0" w:tplc="B8F65DA0">
      <w:numFmt w:val="bullet"/>
      <w:lvlText w:val="-"/>
      <w:lvlJc w:val="left"/>
      <w:pPr>
        <w:ind w:left="720" w:hanging="360"/>
      </w:pPr>
      <w:rPr>
        <w:rFonts w:ascii="Arial Narrow" w:eastAsiaTheme="minorEastAsia"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27130"/>
    <w:multiLevelType w:val="hybridMultilevel"/>
    <w:tmpl w:val="2534B6EC"/>
    <w:lvl w:ilvl="0" w:tplc="04090005">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952B6"/>
    <w:multiLevelType w:val="hybridMultilevel"/>
    <w:tmpl w:val="1166F948"/>
    <w:lvl w:ilvl="0" w:tplc="04090005">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F2CAD"/>
    <w:multiLevelType w:val="hybridMultilevel"/>
    <w:tmpl w:val="702E3800"/>
    <w:lvl w:ilvl="0" w:tplc="93CC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900D39"/>
    <w:multiLevelType w:val="hybridMultilevel"/>
    <w:tmpl w:val="C7CA02D4"/>
    <w:lvl w:ilvl="0" w:tplc="04090005">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31A32"/>
    <w:multiLevelType w:val="hybridMultilevel"/>
    <w:tmpl w:val="33BE4C16"/>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B5B14"/>
    <w:multiLevelType w:val="hybridMultilevel"/>
    <w:tmpl w:val="BD005738"/>
    <w:lvl w:ilvl="0" w:tplc="AC76A93C">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B09E0"/>
    <w:multiLevelType w:val="hybridMultilevel"/>
    <w:tmpl w:val="0D42F7D2"/>
    <w:lvl w:ilvl="0" w:tplc="C35ACBA0">
      <w:start w:val="2"/>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36"/>
  </w:num>
  <w:num w:numId="3">
    <w:abstractNumId w:val="32"/>
  </w:num>
  <w:num w:numId="4">
    <w:abstractNumId w:val="33"/>
  </w:num>
  <w:num w:numId="5">
    <w:abstractNumId w:val="11"/>
  </w:num>
  <w:num w:numId="6">
    <w:abstractNumId w:val="6"/>
  </w:num>
  <w:num w:numId="7">
    <w:abstractNumId w:val="9"/>
  </w:num>
  <w:num w:numId="8">
    <w:abstractNumId w:val="39"/>
  </w:num>
  <w:num w:numId="9">
    <w:abstractNumId w:val="21"/>
  </w:num>
  <w:num w:numId="10">
    <w:abstractNumId w:val="23"/>
  </w:num>
  <w:num w:numId="11">
    <w:abstractNumId w:val="38"/>
  </w:num>
  <w:num w:numId="12">
    <w:abstractNumId w:val="0"/>
  </w:num>
  <w:num w:numId="13">
    <w:abstractNumId w:val="8"/>
  </w:num>
  <w:num w:numId="14">
    <w:abstractNumId w:val="15"/>
  </w:num>
  <w:num w:numId="15">
    <w:abstractNumId w:val="1"/>
  </w:num>
  <w:num w:numId="16">
    <w:abstractNumId w:val="16"/>
  </w:num>
  <w:num w:numId="17">
    <w:abstractNumId w:val="12"/>
  </w:num>
  <w:num w:numId="18">
    <w:abstractNumId w:val="24"/>
  </w:num>
  <w:num w:numId="19">
    <w:abstractNumId w:val="22"/>
  </w:num>
  <w:num w:numId="20">
    <w:abstractNumId w:val="18"/>
  </w:num>
  <w:num w:numId="21">
    <w:abstractNumId w:val="28"/>
  </w:num>
  <w:num w:numId="22">
    <w:abstractNumId w:val="1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19"/>
  </w:num>
  <w:num w:numId="27">
    <w:abstractNumId w:val="3"/>
  </w:num>
  <w:num w:numId="28">
    <w:abstractNumId w:val="20"/>
  </w:num>
  <w:num w:numId="29">
    <w:abstractNumId w:val="29"/>
  </w:num>
  <w:num w:numId="30">
    <w:abstractNumId w:val="4"/>
  </w:num>
  <w:num w:numId="31">
    <w:abstractNumId w:val="30"/>
  </w:num>
  <w:num w:numId="32">
    <w:abstractNumId w:val="14"/>
  </w:num>
  <w:num w:numId="33">
    <w:abstractNumId w:val="34"/>
  </w:num>
  <w:num w:numId="34">
    <w:abstractNumId w:val="35"/>
  </w:num>
  <w:num w:numId="35">
    <w:abstractNumId w:val="37"/>
  </w:num>
  <w:num w:numId="36">
    <w:abstractNumId w:val="13"/>
  </w:num>
  <w:num w:numId="37">
    <w:abstractNumId w:val="31"/>
  </w:num>
  <w:num w:numId="38">
    <w:abstractNumId w:val="7"/>
  </w:num>
  <w:num w:numId="39">
    <w:abstractNumId w:val="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NDAzsTCyMDO1NDNT0lEKTi0uzszPAykwrAUAkvjzDSwAAAA="/>
  </w:docVars>
  <w:rsids>
    <w:rsidRoot w:val="00872C42"/>
    <w:rsid w:val="00001099"/>
    <w:rsid w:val="00003647"/>
    <w:rsid w:val="000040CB"/>
    <w:rsid w:val="0000686A"/>
    <w:rsid w:val="00014111"/>
    <w:rsid w:val="00014F61"/>
    <w:rsid w:val="00023F63"/>
    <w:rsid w:val="00030874"/>
    <w:rsid w:val="000315D6"/>
    <w:rsid w:val="00032127"/>
    <w:rsid w:val="00036A7C"/>
    <w:rsid w:val="000374A5"/>
    <w:rsid w:val="00040880"/>
    <w:rsid w:val="000417A7"/>
    <w:rsid w:val="000535E3"/>
    <w:rsid w:val="000550A7"/>
    <w:rsid w:val="00061E08"/>
    <w:rsid w:val="000645D3"/>
    <w:rsid w:val="00064BDB"/>
    <w:rsid w:val="00065C04"/>
    <w:rsid w:val="00065E52"/>
    <w:rsid w:val="00071B36"/>
    <w:rsid w:val="00072453"/>
    <w:rsid w:val="00074299"/>
    <w:rsid w:val="00075109"/>
    <w:rsid w:val="00076E6F"/>
    <w:rsid w:val="00076FE3"/>
    <w:rsid w:val="000813FD"/>
    <w:rsid w:val="00081B4D"/>
    <w:rsid w:val="0008502C"/>
    <w:rsid w:val="00086E9C"/>
    <w:rsid w:val="000871AB"/>
    <w:rsid w:val="000906E0"/>
    <w:rsid w:val="000941BD"/>
    <w:rsid w:val="00096674"/>
    <w:rsid w:val="000A2310"/>
    <w:rsid w:val="000A2DF6"/>
    <w:rsid w:val="000A3C88"/>
    <w:rsid w:val="000A41D2"/>
    <w:rsid w:val="000A6B72"/>
    <w:rsid w:val="000A7558"/>
    <w:rsid w:val="000B08CD"/>
    <w:rsid w:val="000B1E46"/>
    <w:rsid w:val="000B21F9"/>
    <w:rsid w:val="000B28CB"/>
    <w:rsid w:val="000B369F"/>
    <w:rsid w:val="000B70C3"/>
    <w:rsid w:val="000C2D63"/>
    <w:rsid w:val="000C304B"/>
    <w:rsid w:val="000D1CD2"/>
    <w:rsid w:val="000D4911"/>
    <w:rsid w:val="000E04EE"/>
    <w:rsid w:val="000E15EC"/>
    <w:rsid w:val="000E413D"/>
    <w:rsid w:val="000E56FA"/>
    <w:rsid w:val="000F0688"/>
    <w:rsid w:val="000F0C00"/>
    <w:rsid w:val="000F2458"/>
    <w:rsid w:val="000F2FD8"/>
    <w:rsid w:val="000F2FFA"/>
    <w:rsid w:val="000F6D6B"/>
    <w:rsid w:val="0010379D"/>
    <w:rsid w:val="00103FE7"/>
    <w:rsid w:val="0011456A"/>
    <w:rsid w:val="00115CF8"/>
    <w:rsid w:val="00126805"/>
    <w:rsid w:val="00131F69"/>
    <w:rsid w:val="001337F4"/>
    <w:rsid w:val="00134FA7"/>
    <w:rsid w:val="00135853"/>
    <w:rsid w:val="001367D4"/>
    <w:rsid w:val="001370F4"/>
    <w:rsid w:val="00151C61"/>
    <w:rsid w:val="00157BBA"/>
    <w:rsid w:val="00160F61"/>
    <w:rsid w:val="00161899"/>
    <w:rsid w:val="0017375A"/>
    <w:rsid w:val="00173E49"/>
    <w:rsid w:val="00174753"/>
    <w:rsid w:val="00174F45"/>
    <w:rsid w:val="00192E3D"/>
    <w:rsid w:val="00196130"/>
    <w:rsid w:val="001A048B"/>
    <w:rsid w:val="001A1AE1"/>
    <w:rsid w:val="001A79CA"/>
    <w:rsid w:val="001B3793"/>
    <w:rsid w:val="001C0A6C"/>
    <w:rsid w:val="001C56A9"/>
    <w:rsid w:val="001D18CF"/>
    <w:rsid w:val="001D2315"/>
    <w:rsid w:val="001D71B9"/>
    <w:rsid w:val="001E242B"/>
    <w:rsid w:val="001F29BE"/>
    <w:rsid w:val="001F3DF7"/>
    <w:rsid w:val="001F6A27"/>
    <w:rsid w:val="002030ED"/>
    <w:rsid w:val="00211054"/>
    <w:rsid w:val="002133D6"/>
    <w:rsid w:val="0022233A"/>
    <w:rsid w:val="00227D8C"/>
    <w:rsid w:val="00230ABC"/>
    <w:rsid w:val="00233958"/>
    <w:rsid w:val="00234CDE"/>
    <w:rsid w:val="00240C18"/>
    <w:rsid w:val="002453C5"/>
    <w:rsid w:val="00250B65"/>
    <w:rsid w:val="00251DA7"/>
    <w:rsid w:val="0025391A"/>
    <w:rsid w:val="00257736"/>
    <w:rsid w:val="00262114"/>
    <w:rsid w:val="00265649"/>
    <w:rsid w:val="00275F78"/>
    <w:rsid w:val="00280034"/>
    <w:rsid w:val="00280F3A"/>
    <w:rsid w:val="00281245"/>
    <w:rsid w:val="00284958"/>
    <w:rsid w:val="00286F0E"/>
    <w:rsid w:val="00287AC6"/>
    <w:rsid w:val="00290087"/>
    <w:rsid w:val="00294AB5"/>
    <w:rsid w:val="00295C07"/>
    <w:rsid w:val="002973A9"/>
    <w:rsid w:val="00297724"/>
    <w:rsid w:val="002A084F"/>
    <w:rsid w:val="002A1742"/>
    <w:rsid w:val="002A3072"/>
    <w:rsid w:val="002A6F14"/>
    <w:rsid w:val="002B3555"/>
    <w:rsid w:val="002B5D48"/>
    <w:rsid w:val="002B7CDD"/>
    <w:rsid w:val="002C16E0"/>
    <w:rsid w:val="002C2889"/>
    <w:rsid w:val="002C3734"/>
    <w:rsid w:val="002C5FB6"/>
    <w:rsid w:val="002C609E"/>
    <w:rsid w:val="002D16F7"/>
    <w:rsid w:val="002D2008"/>
    <w:rsid w:val="002D7461"/>
    <w:rsid w:val="002E104C"/>
    <w:rsid w:val="002E6F69"/>
    <w:rsid w:val="002F3322"/>
    <w:rsid w:val="002F3DB9"/>
    <w:rsid w:val="002F48C1"/>
    <w:rsid w:val="003030A3"/>
    <w:rsid w:val="00314B78"/>
    <w:rsid w:val="0031757D"/>
    <w:rsid w:val="00321B6A"/>
    <w:rsid w:val="003228CD"/>
    <w:rsid w:val="00324981"/>
    <w:rsid w:val="003254E0"/>
    <w:rsid w:val="00330F3E"/>
    <w:rsid w:val="00334B16"/>
    <w:rsid w:val="003410AE"/>
    <w:rsid w:val="00342493"/>
    <w:rsid w:val="0035125B"/>
    <w:rsid w:val="00356520"/>
    <w:rsid w:val="003568D8"/>
    <w:rsid w:val="003579A7"/>
    <w:rsid w:val="00360BAC"/>
    <w:rsid w:val="00360BDA"/>
    <w:rsid w:val="00364721"/>
    <w:rsid w:val="00370206"/>
    <w:rsid w:val="003712FD"/>
    <w:rsid w:val="00377649"/>
    <w:rsid w:val="0037778E"/>
    <w:rsid w:val="00387FF1"/>
    <w:rsid w:val="00390407"/>
    <w:rsid w:val="0039101D"/>
    <w:rsid w:val="003929D5"/>
    <w:rsid w:val="00392C69"/>
    <w:rsid w:val="00396ABE"/>
    <w:rsid w:val="003A14DB"/>
    <w:rsid w:val="003A24D6"/>
    <w:rsid w:val="003A4D50"/>
    <w:rsid w:val="003A6057"/>
    <w:rsid w:val="003A60AE"/>
    <w:rsid w:val="003A618C"/>
    <w:rsid w:val="003A6824"/>
    <w:rsid w:val="003A6E20"/>
    <w:rsid w:val="003B4034"/>
    <w:rsid w:val="003B676D"/>
    <w:rsid w:val="003B782D"/>
    <w:rsid w:val="003C2270"/>
    <w:rsid w:val="003C72BF"/>
    <w:rsid w:val="003D2545"/>
    <w:rsid w:val="003D7EAB"/>
    <w:rsid w:val="003E0C35"/>
    <w:rsid w:val="003E0DC0"/>
    <w:rsid w:val="003E5179"/>
    <w:rsid w:val="003E5A5F"/>
    <w:rsid w:val="003E64D3"/>
    <w:rsid w:val="003E6E31"/>
    <w:rsid w:val="003F1C52"/>
    <w:rsid w:val="003F21EF"/>
    <w:rsid w:val="003F7B8A"/>
    <w:rsid w:val="00401845"/>
    <w:rsid w:val="004032C2"/>
    <w:rsid w:val="00407BF3"/>
    <w:rsid w:val="004121A8"/>
    <w:rsid w:val="004124BE"/>
    <w:rsid w:val="004143C8"/>
    <w:rsid w:val="00414D2D"/>
    <w:rsid w:val="00417034"/>
    <w:rsid w:val="00417914"/>
    <w:rsid w:val="0042220F"/>
    <w:rsid w:val="00430CCA"/>
    <w:rsid w:val="00431F0B"/>
    <w:rsid w:val="00433A13"/>
    <w:rsid w:val="00434EFA"/>
    <w:rsid w:val="00435A70"/>
    <w:rsid w:val="004422CE"/>
    <w:rsid w:val="00442652"/>
    <w:rsid w:val="00443842"/>
    <w:rsid w:val="00444E99"/>
    <w:rsid w:val="004479C4"/>
    <w:rsid w:val="00451496"/>
    <w:rsid w:val="0045249D"/>
    <w:rsid w:val="00454235"/>
    <w:rsid w:val="00454A85"/>
    <w:rsid w:val="00454D1F"/>
    <w:rsid w:val="00460A3B"/>
    <w:rsid w:val="00462415"/>
    <w:rsid w:val="004659DA"/>
    <w:rsid w:val="0046689D"/>
    <w:rsid w:val="00473BA8"/>
    <w:rsid w:val="00476947"/>
    <w:rsid w:val="00490D4C"/>
    <w:rsid w:val="00491DAF"/>
    <w:rsid w:val="004940EC"/>
    <w:rsid w:val="00496DF1"/>
    <w:rsid w:val="00497763"/>
    <w:rsid w:val="004A0857"/>
    <w:rsid w:val="004A1AE6"/>
    <w:rsid w:val="004A261F"/>
    <w:rsid w:val="004A30D8"/>
    <w:rsid w:val="004A4C60"/>
    <w:rsid w:val="004A5D53"/>
    <w:rsid w:val="004A6CC9"/>
    <w:rsid w:val="004B2C4C"/>
    <w:rsid w:val="004B35D1"/>
    <w:rsid w:val="004B39EF"/>
    <w:rsid w:val="004B5745"/>
    <w:rsid w:val="004B7BE3"/>
    <w:rsid w:val="004C7575"/>
    <w:rsid w:val="004C7E83"/>
    <w:rsid w:val="004D1E9E"/>
    <w:rsid w:val="004D4C31"/>
    <w:rsid w:val="004D56AB"/>
    <w:rsid w:val="004D600C"/>
    <w:rsid w:val="004E2173"/>
    <w:rsid w:val="004E3D25"/>
    <w:rsid w:val="004F1CC2"/>
    <w:rsid w:val="004F2132"/>
    <w:rsid w:val="004F2F06"/>
    <w:rsid w:val="004F3929"/>
    <w:rsid w:val="004F4175"/>
    <w:rsid w:val="004F50E3"/>
    <w:rsid w:val="00503B5E"/>
    <w:rsid w:val="00505CE1"/>
    <w:rsid w:val="005068D0"/>
    <w:rsid w:val="0050716B"/>
    <w:rsid w:val="00515CCB"/>
    <w:rsid w:val="00524AB1"/>
    <w:rsid w:val="0052580C"/>
    <w:rsid w:val="00532FDE"/>
    <w:rsid w:val="00536639"/>
    <w:rsid w:val="00545359"/>
    <w:rsid w:val="005454E7"/>
    <w:rsid w:val="0054648C"/>
    <w:rsid w:val="005471F4"/>
    <w:rsid w:val="005513CF"/>
    <w:rsid w:val="00551B30"/>
    <w:rsid w:val="0055501E"/>
    <w:rsid w:val="00556EFD"/>
    <w:rsid w:val="00557EA2"/>
    <w:rsid w:val="00560DAD"/>
    <w:rsid w:val="00571DDE"/>
    <w:rsid w:val="005728A7"/>
    <w:rsid w:val="00584458"/>
    <w:rsid w:val="00585373"/>
    <w:rsid w:val="00585447"/>
    <w:rsid w:val="005941B2"/>
    <w:rsid w:val="00594378"/>
    <w:rsid w:val="005A0277"/>
    <w:rsid w:val="005A09B9"/>
    <w:rsid w:val="005A0F9B"/>
    <w:rsid w:val="005A1395"/>
    <w:rsid w:val="005A30AD"/>
    <w:rsid w:val="005A5C9D"/>
    <w:rsid w:val="005A7E7A"/>
    <w:rsid w:val="005B08D5"/>
    <w:rsid w:val="005B15D6"/>
    <w:rsid w:val="005B1B16"/>
    <w:rsid w:val="005B2B36"/>
    <w:rsid w:val="005E00AE"/>
    <w:rsid w:val="005E1C8E"/>
    <w:rsid w:val="005E78B5"/>
    <w:rsid w:val="005F1C03"/>
    <w:rsid w:val="005F7318"/>
    <w:rsid w:val="00606929"/>
    <w:rsid w:val="0060723C"/>
    <w:rsid w:val="00611EF6"/>
    <w:rsid w:val="0061316E"/>
    <w:rsid w:val="0061403F"/>
    <w:rsid w:val="00615CCD"/>
    <w:rsid w:val="00616FFA"/>
    <w:rsid w:val="0061719A"/>
    <w:rsid w:val="00620A59"/>
    <w:rsid w:val="00623C49"/>
    <w:rsid w:val="006308B5"/>
    <w:rsid w:val="006363AB"/>
    <w:rsid w:val="00637922"/>
    <w:rsid w:val="006379D1"/>
    <w:rsid w:val="006404B1"/>
    <w:rsid w:val="00641DA8"/>
    <w:rsid w:val="00646015"/>
    <w:rsid w:val="00646A62"/>
    <w:rsid w:val="00654E03"/>
    <w:rsid w:val="0065709A"/>
    <w:rsid w:val="00663136"/>
    <w:rsid w:val="00663F0E"/>
    <w:rsid w:val="00664712"/>
    <w:rsid w:val="0066776C"/>
    <w:rsid w:val="006743FF"/>
    <w:rsid w:val="0067592A"/>
    <w:rsid w:val="00676346"/>
    <w:rsid w:val="00677E96"/>
    <w:rsid w:val="00680F22"/>
    <w:rsid w:val="006812BA"/>
    <w:rsid w:val="0068297C"/>
    <w:rsid w:val="00684EC7"/>
    <w:rsid w:val="00685133"/>
    <w:rsid w:val="00685276"/>
    <w:rsid w:val="00685BBB"/>
    <w:rsid w:val="00687FB1"/>
    <w:rsid w:val="00690251"/>
    <w:rsid w:val="006912B4"/>
    <w:rsid w:val="00697D54"/>
    <w:rsid w:val="00697EC2"/>
    <w:rsid w:val="006A3A54"/>
    <w:rsid w:val="006A5E40"/>
    <w:rsid w:val="006B3A1F"/>
    <w:rsid w:val="006B6654"/>
    <w:rsid w:val="006B68FD"/>
    <w:rsid w:val="006B75ED"/>
    <w:rsid w:val="006C1F6E"/>
    <w:rsid w:val="006C6079"/>
    <w:rsid w:val="006C7FFC"/>
    <w:rsid w:val="006D14F7"/>
    <w:rsid w:val="006D35AC"/>
    <w:rsid w:val="006D5DD1"/>
    <w:rsid w:val="006E146D"/>
    <w:rsid w:val="006E5540"/>
    <w:rsid w:val="006F604A"/>
    <w:rsid w:val="006F6963"/>
    <w:rsid w:val="00714775"/>
    <w:rsid w:val="00714D5B"/>
    <w:rsid w:val="0071710B"/>
    <w:rsid w:val="0072180B"/>
    <w:rsid w:val="00725B31"/>
    <w:rsid w:val="00734F4C"/>
    <w:rsid w:val="0073574C"/>
    <w:rsid w:val="00737B6D"/>
    <w:rsid w:val="0074030B"/>
    <w:rsid w:val="007500AC"/>
    <w:rsid w:val="00751128"/>
    <w:rsid w:val="00752044"/>
    <w:rsid w:val="00754E05"/>
    <w:rsid w:val="007579B5"/>
    <w:rsid w:val="007615B1"/>
    <w:rsid w:val="00764255"/>
    <w:rsid w:val="00773A50"/>
    <w:rsid w:val="00776875"/>
    <w:rsid w:val="00784220"/>
    <w:rsid w:val="00786E43"/>
    <w:rsid w:val="0079065A"/>
    <w:rsid w:val="00791D64"/>
    <w:rsid w:val="00792BF9"/>
    <w:rsid w:val="007970E4"/>
    <w:rsid w:val="007A212C"/>
    <w:rsid w:val="007A301E"/>
    <w:rsid w:val="007B0B9D"/>
    <w:rsid w:val="007B1B1D"/>
    <w:rsid w:val="007B2A76"/>
    <w:rsid w:val="007B3A36"/>
    <w:rsid w:val="007B6159"/>
    <w:rsid w:val="007B7CC1"/>
    <w:rsid w:val="007C2F42"/>
    <w:rsid w:val="007C40BB"/>
    <w:rsid w:val="007C61CF"/>
    <w:rsid w:val="007D4A70"/>
    <w:rsid w:val="007D5835"/>
    <w:rsid w:val="007D745B"/>
    <w:rsid w:val="007E0DD7"/>
    <w:rsid w:val="007E1F1B"/>
    <w:rsid w:val="007E5BCD"/>
    <w:rsid w:val="007E73B3"/>
    <w:rsid w:val="007F0CDF"/>
    <w:rsid w:val="007F0DE9"/>
    <w:rsid w:val="007F1B06"/>
    <w:rsid w:val="007F2D34"/>
    <w:rsid w:val="007F436A"/>
    <w:rsid w:val="007F7386"/>
    <w:rsid w:val="008002A5"/>
    <w:rsid w:val="0080525A"/>
    <w:rsid w:val="0080777D"/>
    <w:rsid w:val="00810274"/>
    <w:rsid w:val="00810A5F"/>
    <w:rsid w:val="00813264"/>
    <w:rsid w:val="00813C35"/>
    <w:rsid w:val="0081540B"/>
    <w:rsid w:val="00822044"/>
    <w:rsid w:val="00823EDD"/>
    <w:rsid w:val="00824265"/>
    <w:rsid w:val="008246B4"/>
    <w:rsid w:val="00825765"/>
    <w:rsid w:val="00827E6D"/>
    <w:rsid w:val="00831A16"/>
    <w:rsid w:val="008324D6"/>
    <w:rsid w:val="00835984"/>
    <w:rsid w:val="00840BB9"/>
    <w:rsid w:val="00841FB8"/>
    <w:rsid w:val="0084471C"/>
    <w:rsid w:val="00845E82"/>
    <w:rsid w:val="00846C82"/>
    <w:rsid w:val="00854B83"/>
    <w:rsid w:val="00861BE0"/>
    <w:rsid w:val="00864030"/>
    <w:rsid w:val="008661FB"/>
    <w:rsid w:val="008662A2"/>
    <w:rsid w:val="00870A50"/>
    <w:rsid w:val="00872C42"/>
    <w:rsid w:val="00873932"/>
    <w:rsid w:val="008816F8"/>
    <w:rsid w:val="00890523"/>
    <w:rsid w:val="00893E8C"/>
    <w:rsid w:val="00895725"/>
    <w:rsid w:val="0089730D"/>
    <w:rsid w:val="00897767"/>
    <w:rsid w:val="008A00F1"/>
    <w:rsid w:val="008A11E3"/>
    <w:rsid w:val="008B00A3"/>
    <w:rsid w:val="008B05B1"/>
    <w:rsid w:val="008B060F"/>
    <w:rsid w:val="008B0D55"/>
    <w:rsid w:val="008B2E97"/>
    <w:rsid w:val="008B5015"/>
    <w:rsid w:val="008C0650"/>
    <w:rsid w:val="008C0661"/>
    <w:rsid w:val="008C1F68"/>
    <w:rsid w:val="008C3851"/>
    <w:rsid w:val="008C3FBD"/>
    <w:rsid w:val="008C4546"/>
    <w:rsid w:val="008C6E22"/>
    <w:rsid w:val="008C7225"/>
    <w:rsid w:val="008E2177"/>
    <w:rsid w:val="008E4CE0"/>
    <w:rsid w:val="008F0881"/>
    <w:rsid w:val="008F1DAF"/>
    <w:rsid w:val="008F63AA"/>
    <w:rsid w:val="008F6DBE"/>
    <w:rsid w:val="00903564"/>
    <w:rsid w:val="00906442"/>
    <w:rsid w:val="00912B28"/>
    <w:rsid w:val="00913D61"/>
    <w:rsid w:val="00925512"/>
    <w:rsid w:val="00931123"/>
    <w:rsid w:val="0093717E"/>
    <w:rsid w:val="00937A46"/>
    <w:rsid w:val="00942822"/>
    <w:rsid w:val="00942D89"/>
    <w:rsid w:val="00945A10"/>
    <w:rsid w:val="00946A52"/>
    <w:rsid w:val="009475A8"/>
    <w:rsid w:val="00951045"/>
    <w:rsid w:val="00957211"/>
    <w:rsid w:val="00960DBB"/>
    <w:rsid w:val="00961BFD"/>
    <w:rsid w:val="00962B3E"/>
    <w:rsid w:val="00965986"/>
    <w:rsid w:val="00967760"/>
    <w:rsid w:val="00975DEE"/>
    <w:rsid w:val="0098002B"/>
    <w:rsid w:val="009800EE"/>
    <w:rsid w:val="00980C1E"/>
    <w:rsid w:val="0098197B"/>
    <w:rsid w:val="00981F93"/>
    <w:rsid w:val="009907F5"/>
    <w:rsid w:val="009A0C06"/>
    <w:rsid w:val="009A15E6"/>
    <w:rsid w:val="009A24B2"/>
    <w:rsid w:val="009A5104"/>
    <w:rsid w:val="009A72A2"/>
    <w:rsid w:val="009B4CE4"/>
    <w:rsid w:val="009C22E0"/>
    <w:rsid w:val="009C31D6"/>
    <w:rsid w:val="009C4F0A"/>
    <w:rsid w:val="009C6915"/>
    <w:rsid w:val="009C7DE2"/>
    <w:rsid w:val="009D472D"/>
    <w:rsid w:val="009D669D"/>
    <w:rsid w:val="009E120F"/>
    <w:rsid w:val="009E22F4"/>
    <w:rsid w:val="009E55B5"/>
    <w:rsid w:val="009E7DBA"/>
    <w:rsid w:val="009F2DB5"/>
    <w:rsid w:val="009F7228"/>
    <w:rsid w:val="00A02EB2"/>
    <w:rsid w:val="00A126DD"/>
    <w:rsid w:val="00A164D6"/>
    <w:rsid w:val="00A209B2"/>
    <w:rsid w:val="00A22F74"/>
    <w:rsid w:val="00A25F09"/>
    <w:rsid w:val="00A302AB"/>
    <w:rsid w:val="00A31C1C"/>
    <w:rsid w:val="00A31EE0"/>
    <w:rsid w:val="00A33254"/>
    <w:rsid w:val="00A33F7E"/>
    <w:rsid w:val="00A341BB"/>
    <w:rsid w:val="00A421A9"/>
    <w:rsid w:val="00A421C6"/>
    <w:rsid w:val="00A472FF"/>
    <w:rsid w:val="00A47697"/>
    <w:rsid w:val="00A4773A"/>
    <w:rsid w:val="00A47F39"/>
    <w:rsid w:val="00A51745"/>
    <w:rsid w:val="00A57342"/>
    <w:rsid w:val="00A60648"/>
    <w:rsid w:val="00A618BF"/>
    <w:rsid w:val="00A61F79"/>
    <w:rsid w:val="00A65E6F"/>
    <w:rsid w:val="00A72D3C"/>
    <w:rsid w:val="00A75436"/>
    <w:rsid w:val="00A77103"/>
    <w:rsid w:val="00A838B3"/>
    <w:rsid w:val="00A8441F"/>
    <w:rsid w:val="00A84994"/>
    <w:rsid w:val="00A933B9"/>
    <w:rsid w:val="00A970A7"/>
    <w:rsid w:val="00AA247B"/>
    <w:rsid w:val="00AA59E8"/>
    <w:rsid w:val="00AA5D98"/>
    <w:rsid w:val="00AA711C"/>
    <w:rsid w:val="00AB143F"/>
    <w:rsid w:val="00AB1543"/>
    <w:rsid w:val="00AB1F3E"/>
    <w:rsid w:val="00AB78B2"/>
    <w:rsid w:val="00AC2022"/>
    <w:rsid w:val="00AC2442"/>
    <w:rsid w:val="00AD0B2A"/>
    <w:rsid w:val="00AD16D9"/>
    <w:rsid w:val="00AD4B65"/>
    <w:rsid w:val="00AD5E08"/>
    <w:rsid w:val="00AD600F"/>
    <w:rsid w:val="00AE0ABA"/>
    <w:rsid w:val="00AE4320"/>
    <w:rsid w:val="00AF2845"/>
    <w:rsid w:val="00AF55A4"/>
    <w:rsid w:val="00AF56A4"/>
    <w:rsid w:val="00AF7A2D"/>
    <w:rsid w:val="00B01E56"/>
    <w:rsid w:val="00B0207B"/>
    <w:rsid w:val="00B03228"/>
    <w:rsid w:val="00B11ECF"/>
    <w:rsid w:val="00B12A00"/>
    <w:rsid w:val="00B12C2E"/>
    <w:rsid w:val="00B1476D"/>
    <w:rsid w:val="00B15570"/>
    <w:rsid w:val="00B17EAA"/>
    <w:rsid w:val="00B2036D"/>
    <w:rsid w:val="00B213C0"/>
    <w:rsid w:val="00B2444A"/>
    <w:rsid w:val="00B26B7B"/>
    <w:rsid w:val="00B3137F"/>
    <w:rsid w:val="00B332E5"/>
    <w:rsid w:val="00B33781"/>
    <w:rsid w:val="00B33BB7"/>
    <w:rsid w:val="00B41CD7"/>
    <w:rsid w:val="00B43232"/>
    <w:rsid w:val="00B45EBC"/>
    <w:rsid w:val="00B46733"/>
    <w:rsid w:val="00B46815"/>
    <w:rsid w:val="00B52F2D"/>
    <w:rsid w:val="00B5337F"/>
    <w:rsid w:val="00B54FF3"/>
    <w:rsid w:val="00B617AD"/>
    <w:rsid w:val="00B627CE"/>
    <w:rsid w:val="00B62ED2"/>
    <w:rsid w:val="00B671AB"/>
    <w:rsid w:val="00B674C6"/>
    <w:rsid w:val="00B7347E"/>
    <w:rsid w:val="00B812B4"/>
    <w:rsid w:val="00B81946"/>
    <w:rsid w:val="00B84612"/>
    <w:rsid w:val="00B87AAF"/>
    <w:rsid w:val="00B904C8"/>
    <w:rsid w:val="00B93142"/>
    <w:rsid w:val="00B93498"/>
    <w:rsid w:val="00B950AA"/>
    <w:rsid w:val="00B96536"/>
    <w:rsid w:val="00B9699F"/>
    <w:rsid w:val="00B96E4A"/>
    <w:rsid w:val="00BA23D9"/>
    <w:rsid w:val="00BA5EDA"/>
    <w:rsid w:val="00BA7DDB"/>
    <w:rsid w:val="00BB015D"/>
    <w:rsid w:val="00BB0DF6"/>
    <w:rsid w:val="00BB46C2"/>
    <w:rsid w:val="00BB5D5E"/>
    <w:rsid w:val="00BB7BC0"/>
    <w:rsid w:val="00BC47CC"/>
    <w:rsid w:val="00BC6E6D"/>
    <w:rsid w:val="00BD1F31"/>
    <w:rsid w:val="00BD39DA"/>
    <w:rsid w:val="00BD3C03"/>
    <w:rsid w:val="00BD6C9A"/>
    <w:rsid w:val="00BE0069"/>
    <w:rsid w:val="00BE597B"/>
    <w:rsid w:val="00BE5F31"/>
    <w:rsid w:val="00BF2B76"/>
    <w:rsid w:val="00BF3482"/>
    <w:rsid w:val="00BF5B80"/>
    <w:rsid w:val="00C03B21"/>
    <w:rsid w:val="00C049F0"/>
    <w:rsid w:val="00C0617F"/>
    <w:rsid w:val="00C10757"/>
    <w:rsid w:val="00C10DBE"/>
    <w:rsid w:val="00C11575"/>
    <w:rsid w:val="00C12933"/>
    <w:rsid w:val="00C2106A"/>
    <w:rsid w:val="00C2177E"/>
    <w:rsid w:val="00C239BC"/>
    <w:rsid w:val="00C23B5B"/>
    <w:rsid w:val="00C240BF"/>
    <w:rsid w:val="00C24DCA"/>
    <w:rsid w:val="00C2585F"/>
    <w:rsid w:val="00C2768A"/>
    <w:rsid w:val="00C30636"/>
    <w:rsid w:val="00C30E14"/>
    <w:rsid w:val="00C436D9"/>
    <w:rsid w:val="00C44D09"/>
    <w:rsid w:val="00C45F04"/>
    <w:rsid w:val="00C462AF"/>
    <w:rsid w:val="00C46556"/>
    <w:rsid w:val="00C46AD4"/>
    <w:rsid w:val="00C47905"/>
    <w:rsid w:val="00C54BC9"/>
    <w:rsid w:val="00C54E40"/>
    <w:rsid w:val="00C60111"/>
    <w:rsid w:val="00C607FB"/>
    <w:rsid w:val="00C62D94"/>
    <w:rsid w:val="00C705BB"/>
    <w:rsid w:val="00C714B5"/>
    <w:rsid w:val="00C74EB9"/>
    <w:rsid w:val="00C75582"/>
    <w:rsid w:val="00C7612D"/>
    <w:rsid w:val="00C76838"/>
    <w:rsid w:val="00C860BC"/>
    <w:rsid w:val="00C91D91"/>
    <w:rsid w:val="00C92E01"/>
    <w:rsid w:val="00C97CD5"/>
    <w:rsid w:val="00CA2E6E"/>
    <w:rsid w:val="00CA5FF9"/>
    <w:rsid w:val="00CA754B"/>
    <w:rsid w:val="00CB6C17"/>
    <w:rsid w:val="00CB7664"/>
    <w:rsid w:val="00CC08D2"/>
    <w:rsid w:val="00CC3E50"/>
    <w:rsid w:val="00CC626A"/>
    <w:rsid w:val="00CD138C"/>
    <w:rsid w:val="00CD1A16"/>
    <w:rsid w:val="00CD2FFD"/>
    <w:rsid w:val="00CD3694"/>
    <w:rsid w:val="00CD7F64"/>
    <w:rsid w:val="00CE7291"/>
    <w:rsid w:val="00CF0DD3"/>
    <w:rsid w:val="00CF4701"/>
    <w:rsid w:val="00D0076C"/>
    <w:rsid w:val="00D00F33"/>
    <w:rsid w:val="00D02A11"/>
    <w:rsid w:val="00D05265"/>
    <w:rsid w:val="00D06771"/>
    <w:rsid w:val="00D06A26"/>
    <w:rsid w:val="00D1292C"/>
    <w:rsid w:val="00D12A8C"/>
    <w:rsid w:val="00D12BB9"/>
    <w:rsid w:val="00D12D99"/>
    <w:rsid w:val="00D140DF"/>
    <w:rsid w:val="00D1527C"/>
    <w:rsid w:val="00D15E27"/>
    <w:rsid w:val="00D24262"/>
    <w:rsid w:val="00D26356"/>
    <w:rsid w:val="00D306A9"/>
    <w:rsid w:val="00D34607"/>
    <w:rsid w:val="00D35D5D"/>
    <w:rsid w:val="00D413DC"/>
    <w:rsid w:val="00D419B3"/>
    <w:rsid w:val="00D421D1"/>
    <w:rsid w:val="00D429EF"/>
    <w:rsid w:val="00D437C0"/>
    <w:rsid w:val="00D45B31"/>
    <w:rsid w:val="00D47423"/>
    <w:rsid w:val="00D5082D"/>
    <w:rsid w:val="00D5338A"/>
    <w:rsid w:val="00D54DF4"/>
    <w:rsid w:val="00D5567D"/>
    <w:rsid w:val="00D55F1A"/>
    <w:rsid w:val="00D5674A"/>
    <w:rsid w:val="00D57345"/>
    <w:rsid w:val="00D57B04"/>
    <w:rsid w:val="00D6034E"/>
    <w:rsid w:val="00D607C7"/>
    <w:rsid w:val="00D6187E"/>
    <w:rsid w:val="00D63802"/>
    <w:rsid w:val="00D63AD6"/>
    <w:rsid w:val="00D71973"/>
    <w:rsid w:val="00D71CC2"/>
    <w:rsid w:val="00D724EA"/>
    <w:rsid w:val="00D80130"/>
    <w:rsid w:val="00D82320"/>
    <w:rsid w:val="00D83D7F"/>
    <w:rsid w:val="00D862F8"/>
    <w:rsid w:val="00D9204D"/>
    <w:rsid w:val="00D93061"/>
    <w:rsid w:val="00DA0352"/>
    <w:rsid w:val="00DA192F"/>
    <w:rsid w:val="00DA3310"/>
    <w:rsid w:val="00DA34AB"/>
    <w:rsid w:val="00DA6E4E"/>
    <w:rsid w:val="00DB1AA0"/>
    <w:rsid w:val="00DB259F"/>
    <w:rsid w:val="00DC02F5"/>
    <w:rsid w:val="00DC3500"/>
    <w:rsid w:val="00DC4E84"/>
    <w:rsid w:val="00DD0F0E"/>
    <w:rsid w:val="00DD14AD"/>
    <w:rsid w:val="00DD3757"/>
    <w:rsid w:val="00DD48B8"/>
    <w:rsid w:val="00DD4B1E"/>
    <w:rsid w:val="00DE4530"/>
    <w:rsid w:val="00DE58AE"/>
    <w:rsid w:val="00DE6C92"/>
    <w:rsid w:val="00DE7AAD"/>
    <w:rsid w:val="00DF51F4"/>
    <w:rsid w:val="00DF7258"/>
    <w:rsid w:val="00E004B5"/>
    <w:rsid w:val="00E0103C"/>
    <w:rsid w:val="00E05487"/>
    <w:rsid w:val="00E06C43"/>
    <w:rsid w:val="00E106B3"/>
    <w:rsid w:val="00E109A8"/>
    <w:rsid w:val="00E12440"/>
    <w:rsid w:val="00E24C1B"/>
    <w:rsid w:val="00E300C4"/>
    <w:rsid w:val="00E31994"/>
    <w:rsid w:val="00E33F47"/>
    <w:rsid w:val="00E3464F"/>
    <w:rsid w:val="00E34D1C"/>
    <w:rsid w:val="00E356BD"/>
    <w:rsid w:val="00E35AA5"/>
    <w:rsid w:val="00E37427"/>
    <w:rsid w:val="00E41819"/>
    <w:rsid w:val="00E437AC"/>
    <w:rsid w:val="00E44492"/>
    <w:rsid w:val="00E51800"/>
    <w:rsid w:val="00E55564"/>
    <w:rsid w:val="00E55927"/>
    <w:rsid w:val="00E55CDD"/>
    <w:rsid w:val="00E57F02"/>
    <w:rsid w:val="00E61854"/>
    <w:rsid w:val="00E6260C"/>
    <w:rsid w:val="00E63745"/>
    <w:rsid w:val="00E6415F"/>
    <w:rsid w:val="00E657F2"/>
    <w:rsid w:val="00E67B17"/>
    <w:rsid w:val="00E71592"/>
    <w:rsid w:val="00E801B7"/>
    <w:rsid w:val="00E841D8"/>
    <w:rsid w:val="00E9218C"/>
    <w:rsid w:val="00E93BDF"/>
    <w:rsid w:val="00E94669"/>
    <w:rsid w:val="00EA6078"/>
    <w:rsid w:val="00EA6224"/>
    <w:rsid w:val="00EA71F5"/>
    <w:rsid w:val="00EA7A6E"/>
    <w:rsid w:val="00EB10A1"/>
    <w:rsid w:val="00EB2649"/>
    <w:rsid w:val="00EB5858"/>
    <w:rsid w:val="00EB6BEA"/>
    <w:rsid w:val="00EB7189"/>
    <w:rsid w:val="00EC56EE"/>
    <w:rsid w:val="00EC6928"/>
    <w:rsid w:val="00ED0476"/>
    <w:rsid w:val="00ED2AEC"/>
    <w:rsid w:val="00ED3CB8"/>
    <w:rsid w:val="00ED57DE"/>
    <w:rsid w:val="00EE0D42"/>
    <w:rsid w:val="00EF0B1F"/>
    <w:rsid w:val="00EF10FD"/>
    <w:rsid w:val="00EF589D"/>
    <w:rsid w:val="00EF6E65"/>
    <w:rsid w:val="00EF7DAD"/>
    <w:rsid w:val="00F00F94"/>
    <w:rsid w:val="00F0692C"/>
    <w:rsid w:val="00F1336E"/>
    <w:rsid w:val="00F142E7"/>
    <w:rsid w:val="00F17908"/>
    <w:rsid w:val="00F20B3D"/>
    <w:rsid w:val="00F27342"/>
    <w:rsid w:val="00F27964"/>
    <w:rsid w:val="00F30B73"/>
    <w:rsid w:val="00F36705"/>
    <w:rsid w:val="00F36951"/>
    <w:rsid w:val="00F41FD5"/>
    <w:rsid w:val="00F505F3"/>
    <w:rsid w:val="00F510B4"/>
    <w:rsid w:val="00F51934"/>
    <w:rsid w:val="00F53080"/>
    <w:rsid w:val="00F54A63"/>
    <w:rsid w:val="00F557A9"/>
    <w:rsid w:val="00F578E8"/>
    <w:rsid w:val="00F60B1E"/>
    <w:rsid w:val="00F61CD5"/>
    <w:rsid w:val="00F632AA"/>
    <w:rsid w:val="00F6361F"/>
    <w:rsid w:val="00F63932"/>
    <w:rsid w:val="00F64D09"/>
    <w:rsid w:val="00F66092"/>
    <w:rsid w:val="00F74728"/>
    <w:rsid w:val="00F7586D"/>
    <w:rsid w:val="00F75931"/>
    <w:rsid w:val="00F811E1"/>
    <w:rsid w:val="00F82D6A"/>
    <w:rsid w:val="00F92947"/>
    <w:rsid w:val="00F9314D"/>
    <w:rsid w:val="00FA27B8"/>
    <w:rsid w:val="00FA2C9B"/>
    <w:rsid w:val="00FA2FD4"/>
    <w:rsid w:val="00FA49DB"/>
    <w:rsid w:val="00FA5AAE"/>
    <w:rsid w:val="00FA5BA4"/>
    <w:rsid w:val="00FB09C7"/>
    <w:rsid w:val="00FB7C6A"/>
    <w:rsid w:val="00FC528B"/>
    <w:rsid w:val="00FC6B8B"/>
    <w:rsid w:val="00FC7088"/>
    <w:rsid w:val="00FD1032"/>
    <w:rsid w:val="00FE12E1"/>
    <w:rsid w:val="00FE253B"/>
    <w:rsid w:val="00FE36B7"/>
    <w:rsid w:val="00FF2500"/>
    <w:rsid w:val="00FF4436"/>
    <w:rsid w:val="00FF63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45E490"/>
  <w15:docId w15:val="{F081F612-47EC-4AB0-BFDA-3592ACB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pt-BR"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42"/>
    <w:pPr>
      <w:spacing w:after="0" w:line="240" w:lineRule="auto"/>
    </w:pPr>
    <w:rPr>
      <w:rFonts w:ascii="Calibri" w:hAnsi="Calibri"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C42"/>
    <w:pPr>
      <w:spacing w:after="200" w:line="276" w:lineRule="auto"/>
      <w:ind w:left="720"/>
    </w:pPr>
    <w:rPr>
      <w:lang w:eastAsia="zh-CN"/>
    </w:rPr>
  </w:style>
  <w:style w:type="paragraph" w:styleId="BalloonText">
    <w:name w:val="Balloon Text"/>
    <w:basedOn w:val="Normal"/>
    <w:link w:val="BalloonTextChar"/>
    <w:uiPriority w:val="99"/>
    <w:semiHidden/>
    <w:unhideWhenUsed/>
    <w:rsid w:val="00A933B9"/>
    <w:rPr>
      <w:rFonts w:ascii="Tahoma" w:hAnsi="Tahoma" w:cs="Angsana New"/>
      <w:sz w:val="16"/>
      <w:szCs w:val="20"/>
    </w:rPr>
  </w:style>
  <w:style w:type="character" w:customStyle="1" w:styleId="BalloonTextChar">
    <w:name w:val="Balloon Text Char"/>
    <w:basedOn w:val="DefaultParagraphFont"/>
    <w:link w:val="BalloonText"/>
    <w:uiPriority w:val="99"/>
    <w:semiHidden/>
    <w:rsid w:val="00A933B9"/>
    <w:rPr>
      <w:rFonts w:ascii="Tahoma" w:hAnsi="Tahoma" w:cs="Angsana New"/>
      <w:sz w:val="16"/>
      <w:szCs w:val="20"/>
      <w:lang w:eastAsia="en-US"/>
    </w:rPr>
  </w:style>
  <w:style w:type="paragraph" w:customStyle="1" w:styleId="Default">
    <w:name w:val="Default"/>
    <w:rsid w:val="00616FFA"/>
    <w:pPr>
      <w:autoSpaceDE w:val="0"/>
      <w:autoSpaceDN w:val="0"/>
      <w:adjustRightInd w:val="0"/>
      <w:spacing w:after="0" w:line="240" w:lineRule="auto"/>
    </w:pPr>
    <w:rPr>
      <w:rFonts w:ascii="Bliss Light" w:hAnsi="Bliss Light" w:cs="Bliss Light"/>
      <w:color w:val="000000"/>
      <w:sz w:val="24"/>
      <w:szCs w:val="24"/>
    </w:rPr>
  </w:style>
  <w:style w:type="paragraph" w:styleId="Header">
    <w:name w:val="header"/>
    <w:basedOn w:val="Normal"/>
    <w:link w:val="HeaderChar"/>
    <w:uiPriority w:val="99"/>
    <w:unhideWhenUsed/>
    <w:rsid w:val="00EC56EE"/>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EC56EE"/>
    <w:rPr>
      <w:rFonts w:ascii="Calibri" w:hAnsi="Calibri" w:cs="Angsana New"/>
      <w:lang w:eastAsia="en-US"/>
    </w:rPr>
  </w:style>
  <w:style w:type="paragraph" w:styleId="Footer">
    <w:name w:val="footer"/>
    <w:basedOn w:val="Normal"/>
    <w:link w:val="FooterChar"/>
    <w:uiPriority w:val="99"/>
    <w:unhideWhenUsed/>
    <w:rsid w:val="00EC56EE"/>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EC56EE"/>
    <w:rPr>
      <w:rFonts w:ascii="Calibri" w:hAnsi="Calibri" w:cs="Angsana New"/>
      <w:lang w:eastAsia="en-US"/>
    </w:rPr>
  </w:style>
  <w:style w:type="paragraph" w:styleId="BodyText2">
    <w:name w:val="Body Text 2"/>
    <w:basedOn w:val="Normal"/>
    <w:link w:val="BodyText2Char"/>
    <w:rsid w:val="00D63802"/>
    <w:pPr>
      <w:spacing w:after="120" w:line="480" w:lineRule="auto"/>
    </w:pPr>
    <w:rPr>
      <w:rFonts w:ascii="Arial Narrow" w:eastAsia="Times New Roman" w:hAnsi="Arial Narrow"/>
      <w:b/>
      <w:sz w:val="24"/>
      <w:szCs w:val="20"/>
      <w:lang w:eastAsia="en-GB" w:bidi="ar-SA"/>
    </w:rPr>
  </w:style>
  <w:style w:type="character" w:customStyle="1" w:styleId="BodyText2Char">
    <w:name w:val="Body Text 2 Char"/>
    <w:basedOn w:val="DefaultParagraphFont"/>
    <w:link w:val="BodyText2"/>
    <w:rsid w:val="00D63802"/>
    <w:rPr>
      <w:rFonts w:ascii="Arial Narrow" w:eastAsia="Times New Roman" w:hAnsi="Arial Narrow" w:cs="Times New Roman"/>
      <w:b/>
      <w:sz w:val="24"/>
      <w:szCs w:val="20"/>
      <w:lang w:val="pt-BR" w:eastAsia="en-GB" w:bidi="ar-SA"/>
    </w:rPr>
  </w:style>
  <w:style w:type="character" w:styleId="CommentReference">
    <w:name w:val="annotation reference"/>
    <w:basedOn w:val="DefaultParagraphFont"/>
    <w:uiPriority w:val="99"/>
    <w:semiHidden/>
    <w:unhideWhenUsed/>
    <w:rsid w:val="00233958"/>
    <w:rPr>
      <w:sz w:val="16"/>
      <w:szCs w:val="16"/>
    </w:rPr>
  </w:style>
  <w:style w:type="paragraph" w:styleId="CommentText">
    <w:name w:val="annotation text"/>
    <w:basedOn w:val="Normal"/>
    <w:link w:val="CommentTextChar"/>
    <w:uiPriority w:val="99"/>
    <w:unhideWhenUsed/>
    <w:rsid w:val="00233958"/>
    <w:rPr>
      <w:rFonts w:cs="Angsana New"/>
      <w:sz w:val="20"/>
      <w:szCs w:val="25"/>
    </w:rPr>
  </w:style>
  <w:style w:type="character" w:customStyle="1" w:styleId="CommentTextChar">
    <w:name w:val="Comment Text Char"/>
    <w:basedOn w:val="DefaultParagraphFont"/>
    <w:link w:val="CommentText"/>
    <w:uiPriority w:val="99"/>
    <w:rsid w:val="00233958"/>
    <w:rPr>
      <w:rFonts w:ascii="Calibri" w:hAnsi="Calibri" w:cs="Angsana New"/>
      <w:sz w:val="20"/>
      <w:szCs w:val="25"/>
      <w:lang w:eastAsia="en-US"/>
    </w:rPr>
  </w:style>
  <w:style w:type="paragraph" w:styleId="CommentSubject">
    <w:name w:val="annotation subject"/>
    <w:basedOn w:val="CommentText"/>
    <w:next w:val="CommentText"/>
    <w:link w:val="CommentSubjectChar"/>
    <w:uiPriority w:val="99"/>
    <w:semiHidden/>
    <w:unhideWhenUsed/>
    <w:rsid w:val="00233958"/>
    <w:rPr>
      <w:b/>
      <w:bCs/>
    </w:rPr>
  </w:style>
  <w:style w:type="character" w:customStyle="1" w:styleId="CommentSubjectChar">
    <w:name w:val="Comment Subject Char"/>
    <w:basedOn w:val="CommentTextChar"/>
    <w:link w:val="CommentSubject"/>
    <w:uiPriority w:val="99"/>
    <w:semiHidden/>
    <w:rsid w:val="00233958"/>
    <w:rPr>
      <w:rFonts w:ascii="Calibri" w:hAnsi="Calibri" w:cs="Angsana New"/>
      <w:b/>
      <w:bCs/>
      <w:sz w:val="20"/>
      <w:szCs w:val="25"/>
      <w:lang w:eastAsia="en-US"/>
    </w:rPr>
  </w:style>
  <w:style w:type="paragraph" w:styleId="Revision">
    <w:name w:val="Revision"/>
    <w:hidden/>
    <w:uiPriority w:val="99"/>
    <w:semiHidden/>
    <w:rsid w:val="0079065A"/>
    <w:pPr>
      <w:spacing w:after="0" w:line="240" w:lineRule="auto"/>
    </w:pPr>
    <w:rPr>
      <w:rFonts w:ascii="Calibri" w:hAnsi="Calibri" w:cs="Angsana New"/>
      <w:lang w:eastAsia="en-US"/>
    </w:rPr>
  </w:style>
  <w:style w:type="character" w:customStyle="1" w:styleId="30BodyTextChar">
    <w:name w:val="3.0 Body Text Char"/>
    <w:basedOn w:val="DefaultParagraphFont"/>
    <w:link w:val="30BodyText"/>
    <w:locked/>
    <w:rsid w:val="00E94669"/>
    <w:rPr>
      <w:rFonts w:ascii="Arial" w:hAnsi="Arial" w:cs="Arial"/>
      <w:color w:val="000000" w:themeColor="text1"/>
      <w:sz w:val="20"/>
    </w:rPr>
  </w:style>
  <w:style w:type="paragraph" w:customStyle="1" w:styleId="30BodyText">
    <w:name w:val="3.0 Body Text"/>
    <w:link w:val="30BodyTextChar"/>
    <w:qFormat/>
    <w:rsid w:val="00E94669"/>
    <w:pPr>
      <w:spacing w:after="240" w:line="240" w:lineRule="auto"/>
    </w:pPr>
    <w:rPr>
      <w:rFonts w:ascii="Arial" w:hAnsi="Arial" w:cs="Arial"/>
      <w:color w:val="000000" w:themeColor="text1"/>
      <w:sz w:val="20"/>
    </w:rPr>
  </w:style>
  <w:style w:type="paragraph" w:styleId="FootnoteText">
    <w:name w:val="footnote text"/>
    <w:basedOn w:val="Normal"/>
    <w:link w:val="FootnoteTextChar"/>
    <w:uiPriority w:val="99"/>
    <w:semiHidden/>
    <w:unhideWhenUsed/>
    <w:rsid w:val="006C6079"/>
    <w:rPr>
      <w:rFonts w:cs="Angsana New"/>
      <w:sz w:val="20"/>
      <w:szCs w:val="25"/>
    </w:rPr>
  </w:style>
  <w:style w:type="character" w:customStyle="1" w:styleId="FootnoteTextChar">
    <w:name w:val="Footnote Text Char"/>
    <w:basedOn w:val="DefaultParagraphFont"/>
    <w:link w:val="FootnoteText"/>
    <w:uiPriority w:val="99"/>
    <w:semiHidden/>
    <w:rsid w:val="006C6079"/>
    <w:rPr>
      <w:rFonts w:ascii="Calibri" w:hAnsi="Calibri" w:cs="Angsana New"/>
      <w:sz w:val="20"/>
      <w:szCs w:val="25"/>
      <w:lang w:eastAsia="en-US"/>
    </w:rPr>
  </w:style>
  <w:style w:type="character" w:styleId="FootnoteReference">
    <w:name w:val="footnote reference"/>
    <w:basedOn w:val="DefaultParagraphFont"/>
    <w:uiPriority w:val="99"/>
    <w:semiHidden/>
    <w:unhideWhenUsed/>
    <w:rsid w:val="006C6079"/>
    <w:rPr>
      <w:vertAlign w:val="superscript"/>
    </w:rPr>
  </w:style>
  <w:style w:type="paragraph" w:styleId="HTMLPreformatted">
    <w:name w:val="HTML Preformatted"/>
    <w:basedOn w:val="Normal"/>
    <w:link w:val="HTMLPreformattedChar"/>
    <w:uiPriority w:val="99"/>
    <w:semiHidden/>
    <w:unhideWhenUsed/>
    <w:rsid w:val="005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semiHidden/>
    <w:rsid w:val="005A7E7A"/>
    <w:rPr>
      <w:rFonts w:ascii="Courier New" w:eastAsia="Times New Roman" w:hAnsi="Courier New" w:cs="Courier New"/>
      <w:sz w:val="20"/>
      <w:szCs w:val="20"/>
      <w:lang w:val="en-US" w:eastAsia="zh-TW"/>
    </w:rPr>
  </w:style>
  <w:style w:type="character" w:customStyle="1" w:styleId="ListParagraphChar">
    <w:name w:val="List Paragraph Char"/>
    <w:basedOn w:val="DefaultParagraphFont"/>
    <w:link w:val="ListParagraph"/>
    <w:uiPriority w:val="34"/>
    <w:locked/>
    <w:rsid w:val="00B15570"/>
    <w:rPr>
      <w:rFonts w:ascii="Calibri" w:hAnsi="Calibri" w:cs="Times New Roman"/>
      <w:szCs w:val="22"/>
    </w:rPr>
  </w:style>
  <w:style w:type="table" w:styleId="TableGrid">
    <w:name w:val="Table Grid"/>
    <w:basedOn w:val="TableNormal"/>
    <w:uiPriority w:val="39"/>
    <w:rsid w:val="00EF6E65"/>
    <w:pPr>
      <w:spacing w:after="0" w:line="240" w:lineRule="auto"/>
    </w:pPr>
    <w:rPr>
      <w:szCs w:val="22"/>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Grid">
    <w:name w:val="Footer Grid"/>
    <w:basedOn w:val="Normal"/>
    <w:link w:val="FooterGridChar"/>
    <w:qFormat/>
    <w:rsid w:val="00EF6E65"/>
    <w:rPr>
      <w:rFonts w:ascii="Arial" w:eastAsia="Sharp Sans Display No1" w:hAnsi="Arial" w:cs="Arial"/>
      <w:bCs/>
      <w:color w:val="181717"/>
      <w:sz w:val="16"/>
      <w:szCs w:val="16"/>
      <w:lang w:val="en-GB" w:eastAsia="en-GB" w:bidi="ar-SA"/>
    </w:rPr>
  </w:style>
  <w:style w:type="paragraph" w:customStyle="1" w:styleId="abrdncom">
    <w:name w:val="abrdn.com"/>
    <w:basedOn w:val="FooterGrid"/>
    <w:link w:val="abrdncomChar"/>
    <w:qFormat/>
    <w:rsid w:val="00EF6E65"/>
    <w:rPr>
      <w:sz w:val="36"/>
    </w:rPr>
  </w:style>
  <w:style w:type="character" w:customStyle="1" w:styleId="FooterGridChar">
    <w:name w:val="Footer Grid Char"/>
    <w:basedOn w:val="DefaultParagraphFont"/>
    <w:link w:val="FooterGrid"/>
    <w:rsid w:val="00EF6E65"/>
    <w:rPr>
      <w:rFonts w:ascii="Arial" w:eastAsia="Sharp Sans Display No1" w:hAnsi="Arial" w:cs="Arial"/>
      <w:bCs/>
      <w:color w:val="181717"/>
      <w:sz w:val="16"/>
      <w:szCs w:val="16"/>
      <w:lang w:val="en-GB" w:eastAsia="en-GB" w:bidi="ar-SA"/>
    </w:rPr>
  </w:style>
  <w:style w:type="paragraph" w:customStyle="1" w:styleId="Footer-Address">
    <w:name w:val="Footer - Address"/>
    <w:basedOn w:val="FooterGrid"/>
    <w:link w:val="Footer-AddressChar"/>
    <w:qFormat/>
    <w:rsid w:val="00EF6E65"/>
  </w:style>
  <w:style w:type="character" w:customStyle="1" w:styleId="abrdncomChar">
    <w:name w:val="abrdn.com Char"/>
    <w:basedOn w:val="FooterGridChar"/>
    <w:link w:val="abrdncom"/>
    <w:rsid w:val="00EF6E65"/>
    <w:rPr>
      <w:rFonts w:ascii="Arial" w:eastAsia="Sharp Sans Display No1" w:hAnsi="Arial" w:cs="Arial"/>
      <w:bCs/>
      <w:color w:val="181717"/>
      <w:sz w:val="36"/>
      <w:szCs w:val="16"/>
      <w:lang w:val="en-GB" w:eastAsia="en-GB" w:bidi="ar-SA"/>
    </w:rPr>
  </w:style>
  <w:style w:type="paragraph" w:customStyle="1" w:styleId="Footer-Tel">
    <w:name w:val="Footer - Tel"/>
    <w:basedOn w:val="FooterGrid"/>
    <w:link w:val="Footer-TelChar"/>
    <w:qFormat/>
    <w:rsid w:val="00EF6E65"/>
  </w:style>
  <w:style w:type="character" w:customStyle="1" w:styleId="Footer-AddressChar">
    <w:name w:val="Footer - Address Char"/>
    <w:basedOn w:val="FooterGridChar"/>
    <w:link w:val="Footer-Address"/>
    <w:rsid w:val="00EF6E65"/>
    <w:rPr>
      <w:rFonts w:ascii="Arial" w:eastAsia="Sharp Sans Display No1" w:hAnsi="Arial" w:cs="Arial"/>
      <w:bCs/>
      <w:color w:val="181717"/>
      <w:sz w:val="16"/>
      <w:szCs w:val="16"/>
      <w:lang w:val="en-GB" w:eastAsia="en-GB" w:bidi="ar-SA"/>
    </w:rPr>
  </w:style>
  <w:style w:type="paragraph" w:customStyle="1" w:styleId="Footer-Legal">
    <w:name w:val="Footer - Legal"/>
    <w:basedOn w:val="FooterGrid"/>
    <w:link w:val="Footer-LegalChar"/>
    <w:qFormat/>
    <w:rsid w:val="00EF6E65"/>
    <w:rPr>
      <w:sz w:val="11"/>
    </w:rPr>
  </w:style>
  <w:style w:type="character" w:customStyle="1" w:styleId="Footer-TelChar">
    <w:name w:val="Footer - Tel Char"/>
    <w:basedOn w:val="FooterGridChar"/>
    <w:link w:val="Footer-Tel"/>
    <w:rsid w:val="00EF6E65"/>
    <w:rPr>
      <w:rFonts w:ascii="Arial" w:eastAsia="Sharp Sans Display No1" w:hAnsi="Arial" w:cs="Arial"/>
      <w:bCs/>
      <w:color w:val="181717"/>
      <w:sz w:val="16"/>
      <w:szCs w:val="16"/>
      <w:lang w:val="en-GB" w:eastAsia="en-GB" w:bidi="ar-SA"/>
    </w:rPr>
  </w:style>
  <w:style w:type="character" w:customStyle="1" w:styleId="Footer-LegalChar">
    <w:name w:val="Footer - Legal Char"/>
    <w:basedOn w:val="FooterGridChar"/>
    <w:link w:val="Footer-Legal"/>
    <w:rsid w:val="00EF6E65"/>
    <w:rPr>
      <w:rFonts w:ascii="Arial" w:eastAsia="Sharp Sans Display No1" w:hAnsi="Arial" w:cs="Arial"/>
      <w:bCs/>
      <w:color w:val="181717"/>
      <w:sz w:val="11"/>
      <w:szCs w:val="16"/>
      <w:lang w:val="en-GB" w:eastAsia="en-GB" w:bidi="ar-SA"/>
    </w:rPr>
  </w:style>
  <w:style w:type="character" w:customStyle="1" w:styleId="q4iawc">
    <w:name w:val="q4iawc"/>
    <w:basedOn w:val="DefaultParagraphFont"/>
    <w:rsid w:val="009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93033">
      <w:bodyDiv w:val="1"/>
      <w:marLeft w:val="0"/>
      <w:marRight w:val="0"/>
      <w:marTop w:val="0"/>
      <w:marBottom w:val="0"/>
      <w:divBdr>
        <w:top w:val="none" w:sz="0" w:space="0" w:color="auto"/>
        <w:left w:val="none" w:sz="0" w:space="0" w:color="auto"/>
        <w:bottom w:val="none" w:sz="0" w:space="0" w:color="auto"/>
        <w:right w:val="none" w:sz="0" w:space="0" w:color="auto"/>
      </w:divBdr>
    </w:div>
    <w:div w:id="542401956">
      <w:bodyDiv w:val="1"/>
      <w:marLeft w:val="0"/>
      <w:marRight w:val="0"/>
      <w:marTop w:val="0"/>
      <w:marBottom w:val="0"/>
      <w:divBdr>
        <w:top w:val="none" w:sz="0" w:space="0" w:color="auto"/>
        <w:left w:val="none" w:sz="0" w:space="0" w:color="auto"/>
        <w:bottom w:val="none" w:sz="0" w:space="0" w:color="auto"/>
        <w:right w:val="none" w:sz="0" w:space="0" w:color="auto"/>
      </w:divBdr>
    </w:div>
    <w:div w:id="548566407">
      <w:bodyDiv w:val="1"/>
      <w:marLeft w:val="0"/>
      <w:marRight w:val="0"/>
      <w:marTop w:val="0"/>
      <w:marBottom w:val="0"/>
      <w:divBdr>
        <w:top w:val="none" w:sz="0" w:space="0" w:color="auto"/>
        <w:left w:val="none" w:sz="0" w:space="0" w:color="auto"/>
        <w:bottom w:val="none" w:sz="0" w:space="0" w:color="auto"/>
        <w:right w:val="none" w:sz="0" w:space="0" w:color="auto"/>
      </w:divBdr>
    </w:div>
    <w:div w:id="737824045">
      <w:bodyDiv w:val="1"/>
      <w:marLeft w:val="0"/>
      <w:marRight w:val="0"/>
      <w:marTop w:val="0"/>
      <w:marBottom w:val="0"/>
      <w:divBdr>
        <w:top w:val="none" w:sz="0" w:space="0" w:color="auto"/>
        <w:left w:val="none" w:sz="0" w:space="0" w:color="auto"/>
        <w:bottom w:val="none" w:sz="0" w:space="0" w:color="auto"/>
        <w:right w:val="none" w:sz="0" w:space="0" w:color="auto"/>
      </w:divBdr>
    </w:div>
    <w:div w:id="791021260">
      <w:bodyDiv w:val="1"/>
      <w:marLeft w:val="0"/>
      <w:marRight w:val="0"/>
      <w:marTop w:val="0"/>
      <w:marBottom w:val="0"/>
      <w:divBdr>
        <w:top w:val="none" w:sz="0" w:space="0" w:color="auto"/>
        <w:left w:val="none" w:sz="0" w:space="0" w:color="auto"/>
        <w:bottom w:val="none" w:sz="0" w:space="0" w:color="auto"/>
        <w:right w:val="none" w:sz="0" w:space="0" w:color="auto"/>
      </w:divBdr>
    </w:div>
    <w:div w:id="869805135">
      <w:bodyDiv w:val="1"/>
      <w:marLeft w:val="0"/>
      <w:marRight w:val="0"/>
      <w:marTop w:val="0"/>
      <w:marBottom w:val="0"/>
      <w:divBdr>
        <w:top w:val="none" w:sz="0" w:space="0" w:color="auto"/>
        <w:left w:val="none" w:sz="0" w:space="0" w:color="auto"/>
        <w:bottom w:val="none" w:sz="0" w:space="0" w:color="auto"/>
        <w:right w:val="none" w:sz="0" w:space="0" w:color="auto"/>
      </w:divBdr>
    </w:div>
    <w:div w:id="891431150">
      <w:bodyDiv w:val="1"/>
      <w:marLeft w:val="0"/>
      <w:marRight w:val="0"/>
      <w:marTop w:val="0"/>
      <w:marBottom w:val="0"/>
      <w:divBdr>
        <w:top w:val="none" w:sz="0" w:space="0" w:color="auto"/>
        <w:left w:val="none" w:sz="0" w:space="0" w:color="auto"/>
        <w:bottom w:val="none" w:sz="0" w:space="0" w:color="auto"/>
        <w:right w:val="none" w:sz="0" w:space="0" w:color="auto"/>
      </w:divBdr>
      <w:divsChild>
        <w:div w:id="1720860194">
          <w:marLeft w:val="0"/>
          <w:marRight w:val="0"/>
          <w:marTop w:val="0"/>
          <w:marBottom w:val="0"/>
          <w:divBdr>
            <w:top w:val="none" w:sz="0" w:space="0" w:color="auto"/>
            <w:left w:val="none" w:sz="0" w:space="0" w:color="auto"/>
            <w:bottom w:val="none" w:sz="0" w:space="0" w:color="auto"/>
            <w:right w:val="none" w:sz="0" w:space="0" w:color="auto"/>
          </w:divBdr>
          <w:divsChild>
            <w:div w:id="525027279">
              <w:marLeft w:val="0"/>
              <w:marRight w:val="0"/>
              <w:marTop w:val="0"/>
              <w:marBottom w:val="0"/>
              <w:divBdr>
                <w:top w:val="none" w:sz="0" w:space="0" w:color="auto"/>
                <w:left w:val="none" w:sz="0" w:space="0" w:color="auto"/>
                <w:bottom w:val="none" w:sz="0" w:space="0" w:color="auto"/>
                <w:right w:val="none" w:sz="0" w:space="0" w:color="auto"/>
              </w:divBdr>
              <w:divsChild>
                <w:div w:id="1919123376">
                  <w:marLeft w:val="0"/>
                  <w:marRight w:val="0"/>
                  <w:marTop w:val="0"/>
                  <w:marBottom w:val="0"/>
                  <w:divBdr>
                    <w:top w:val="none" w:sz="0" w:space="0" w:color="auto"/>
                    <w:left w:val="none" w:sz="0" w:space="0" w:color="auto"/>
                    <w:bottom w:val="none" w:sz="0" w:space="0" w:color="auto"/>
                    <w:right w:val="none" w:sz="0" w:space="0" w:color="auto"/>
                  </w:divBdr>
                  <w:divsChild>
                    <w:div w:id="1384137936">
                      <w:marLeft w:val="0"/>
                      <w:marRight w:val="0"/>
                      <w:marTop w:val="0"/>
                      <w:marBottom w:val="0"/>
                      <w:divBdr>
                        <w:top w:val="none" w:sz="0" w:space="0" w:color="auto"/>
                        <w:left w:val="none" w:sz="0" w:space="0" w:color="auto"/>
                        <w:bottom w:val="none" w:sz="0" w:space="0" w:color="auto"/>
                        <w:right w:val="none" w:sz="0" w:space="0" w:color="auto"/>
                      </w:divBdr>
                      <w:divsChild>
                        <w:div w:id="456989810">
                          <w:marLeft w:val="0"/>
                          <w:marRight w:val="0"/>
                          <w:marTop w:val="0"/>
                          <w:marBottom w:val="0"/>
                          <w:divBdr>
                            <w:top w:val="none" w:sz="0" w:space="0" w:color="auto"/>
                            <w:left w:val="none" w:sz="0" w:space="0" w:color="auto"/>
                            <w:bottom w:val="none" w:sz="0" w:space="0" w:color="auto"/>
                            <w:right w:val="none" w:sz="0" w:space="0" w:color="auto"/>
                          </w:divBdr>
                          <w:divsChild>
                            <w:div w:id="1627740153">
                              <w:marLeft w:val="2070"/>
                              <w:marRight w:val="3960"/>
                              <w:marTop w:val="0"/>
                              <w:marBottom w:val="0"/>
                              <w:divBdr>
                                <w:top w:val="none" w:sz="0" w:space="0" w:color="auto"/>
                                <w:left w:val="none" w:sz="0" w:space="0" w:color="auto"/>
                                <w:bottom w:val="none" w:sz="0" w:space="0" w:color="auto"/>
                                <w:right w:val="none" w:sz="0" w:space="0" w:color="auto"/>
                              </w:divBdr>
                              <w:divsChild>
                                <w:div w:id="408189239">
                                  <w:marLeft w:val="0"/>
                                  <w:marRight w:val="0"/>
                                  <w:marTop w:val="0"/>
                                  <w:marBottom w:val="0"/>
                                  <w:divBdr>
                                    <w:top w:val="none" w:sz="0" w:space="0" w:color="auto"/>
                                    <w:left w:val="none" w:sz="0" w:space="0" w:color="auto"/>
                                    <w:bottom w:val="none" w:sz="0" w:space="0" w:color="auto"/>
                                    <w:right w:val="none" w:sz="0" w:space="0" w:color="auto"/>
                                  </w:divBdr>
                                  <w:divsChild>
                                    <w:div w:id="113060390">
                                      <w:marLeft w:val="0"/>
                                      <w:marRight w:val="0"/>
                                      <w:marTop w:val="0"/>
                                      <w:marBottom w:val="0"/>
                                      <w:divBdr>
                                        <w:top w:val="none" w:sz="0" w:space="0" w:color="auto"/>
                                        <w:left w:val="none" w:sz="0" w:space="0" w:color="auto"/>
                                        <w:bottom w:val="none" w:sz="0" w:space="0" w:color="auto"/>
                                        <w:right w:val="none" w:sz="0" w:space="0" w:color="auto"/>
                                      </w:divBdr>
                                      <w:divsChild>
                                        <w:div w:id="1657146896">
                                          <w:marLeft w:val="0"/>
                                          <w:marRight w:val="0"/>
                                          <w:marTop w:val="0"/>
                                          <w:marBottom w:val="0"/>
                                          <w:divBdr>
                                            <w:top w:val="none" w:sz="0" w:space="0" w:color="auto"/>
                                            <w:left w:val="none" w:sz="0" w:space="0" w:color="auto"/>
                                            <w:bottom w:val="none" w:sz="0" w:space="0" w:color="auto"/>
                                            <w:right w:val="none" w:sz="0" w:space="0" w:color="auto"/>
                                          </w:divBdr>
                                          <w:divsChild>
                                            <w:div w:id="1203707672">
                                              <w:marLeft w:val="0"/>
                                              <w:marRight w:val="0"/>
                                              <w:marTop w:val="90"/>
                                              <w:marBottom w:val="0"/>
                                              <w:divBdr>
                                                <w:top w:val="none" w:sz="0" w:space="0" w:color="auto"/>
                                                <w:left w:val="none" w:sz="0" w:space="0" w:color="auto"/>
                                                <w:bottom w:val="none" w:sz="0" w:space="0" w:color="auto"/>
                                                <w:right w:val="none" w:sz="0" w:space="0" w:color="auto"/>
                                              </w:divBdr>
                                              <w:divsChild>
                                                <w:div w:id="1096366226">
                                                  <w:marLeft w:val="0"/>
                                                  <w:marRight w:val="0"/>
                                                  <w:marTop w:val="0"/>
                                                  <w:marBottom w:val="0"/>
                                                  <w:divBdr>
                                                    <w:top w:val="none" w:sz="0" w:space="0" w:color="auto"/>
                                                    <w:left w:val="none" w:sz="0" w:space="0" w:color="auto"/>
                                                    <w:bottom w:val="none" w:sz="0" w:space="0" w:color="auto"/>
                                                    <w:right w:val="none" w:sz="0" w:space="0" w:color="auto"/>
                                                  </w:divBdr>
                                                  <w:divsChild>
                                                    <w:div w:id="1497570514">
                                                      <w:marLeft w:val="0"/>
                                                      <w:marRight w:val="0"/>
                                                      <w:marTop w:val="0"/>
                                                      <w:marBottom w:val="405"/>
                                                      <w:divBdr>
                                                        <w:top w:val="none" w:sz="0" w:space="0" w:color="auto"/>
                                                        <w:left w:val="none" w:sz="0" w:space="0" w:color="auto"/>
                                                        <w:bottom w:val="none" w:sz="0" w:space="0" w:color="auto"/>
                                                        <w:right w:val="none" w:sz="0" w:space="0" w:color="auto"/>
                                                      </w:divBdr>
                                                      <w:divsChild>
                                                        <w:div w:id="207230116">
                                                          <w:marLeft w:val="0"/>
                                                          <w:marRight w:val="0"/>
                                                          <w:marTop w:val="0"/>
                                                          <w:marBottom w:val="0"/>
                                                          <w:divBdr>
                                                            <w:top w:val="none" w:sz="0" w:space="0" w:color="auto"/>
                                                            <w:left w:val="none" w:sz="0" w:space="0" w:color="auto"/>
                                                            <w:bottom w:val="none" w:sz="0" w:space="0" w:color="auto"/>
                                                            <w:right w:val="none" w:sz="0" w:space="0" w:color="auto"/>
                                                          </w:divBdr>
                                                          <w:divsChild>
                                                            <w:div w:id="2128770583">
                                                              <w:marLeft w:val="0"/>
                                                              <w:marRight w:val="0"/>
                                                              <w:marTop w:val="0"/>
                                                              <w:marBottom w:val="0"/>
                                                              <w:divBdr>
                                                                <w:top w:val="none" w:sz="0" w:space="0" w:color="auto"/>
                                                                <w:left w:val="none" w:sz="0" w:space="0" w:color="auto"/>
                                                                <w:bottom w:val="none" w:sz="0" w:space="0" w:color="auto"/>
                                                                <w:right w:val="none" w:sz="0" w:space="0" w:color="auto"/>
                                                              </w:divBdr>
                                                              <w:divsChild>
                                                                <w:div w:id="1457260411">
                                                                  <w:marLeft w:val="0"/>
                                                                  <w:marRight w:val="0"/>
                                                                  <w:marTop w:val="0"/>
                                                                  <w:marBottom w:val="0"/>
                                                                  <w:divBdr>
                                                                    <w:top w:val="none" w:sz="0" w:space="0" w:color="auto"/>
                                                                    <w:left w:val="none" w:sz="0" w:space="0" w:color="auto"/>
                                                                    <w:bottom w:val="none" w:sz="0" w:space="0" w:color="auto"/>
                                                                    <w:right w:val="none" w:sz="0" w:space="0" w:color="auto"/>
                                                                  </w:divBdr>
                                                                  <w:divsChild>
                                                                    <w:div w:id="1679573422">
                                                                      <w:marLeft w:val="0"/>
                                                                      <w:marRight w:val="0"/>
                                                                      <w:marTop w:val="0"/>
                                                                      <w:marBottom w:val="0"/>
                                                                      <w:divBdr>
                                                                        <w:top w:val="none" w:sz="0" w:space="0" w:color="auto"/>
                                                                        <w:left w:val="none" w:sz="0" w:space="0" w:color="auto"/>
                                                                        <w:bottom w:val="none" w:sz="0" w:space="0" w:color="auto"/>
                                                                        <w:right w:val="none" w:sz="0" w:space="0" w:color="auto"/>
                                                                      </w:divBdr>
                                                                      <w:divsChild>
                                                                        <w:div w:id="2059547197">
                                                                          <w:marLeft w:val="0"/>
                                                                          <w:marRight w:val="0"/>
                                                                          <w:marTop w:val="0"/>
                                                                          <w:marBottom w:val="0"/>
                                                                          <w:divBdr>
                                                                            <w:top w:val="none" w:sz="0" w:space="0" w:color="auto"/>
                                                                            <w:left w:val="none" w:sz="0" w:space="0" w:color="auto"/>
                                                                            <w:bottom w:val="none" w:sz="0" w:space="0" w:color="auto"/>
                                                                            <w:right w:val="none" w:sz="0" w:space="0" w:color="auto"/>
                                                                          </w:divBdr>
                                                                          <w:divsChild>
                                                                            <w:div w:id="460461477">
                                                                              <w:marLeft w:val="0"/>
                                                                              <w:marRight w:val="0"/>
                                                                              <w:marTop w:val="0"/>
                                                                              <w:marBottom w:val="0"/>
                                                                              <w:divBdr>
                                                                                <w:top w:val="none" w:sz="0" w:space="0" w:color="auto"/>
                                                                                <w:left w:val="none" w:sz="0" w:space="0" w:color="auto"/>
                                                                                <w:bottom w:val="none" w:sz="0" w:space="0" w:color="auto"/>
                                                                                <w:right w:val="none" w:sz="0" w:space="0" w:color="auto"/>
                                                                              </w:divBdr>
                                                                              <w:divsChild>
                                                                                <w:div w:id="1048340021">
                                                                                  <w:marLeft w:val="0"/>
                                                                                  <w:marRight w:val="0"/>
                                                                                  <w:marTop w:val="0"/>
                                                                                  <w:marBottom w:val="0"/>
                                                                                  <w:divBdr>
                                                                                    <w:top w:val="none" w:sz="0" w:space="0" w:color="auto"/>
                                                                                    <w:left w:val="none" w:sz="0" w:space="0" w:color="auto"/>
                                                                                    <w:bottom w:val="none" w:sz="0" w:space="0" w:color="auto"/>
                                                                                    <w:right w:val="none" w:sz="0" w:space="0" w:color="auto"/>
                                                                                  </w:divBdr>
                                                                                  <w:divsChild>
                                                                                    <w:div w:id="90971613">
                                                                                      <w:marLeft w:val="0"/>
                                                                                      <w:marRight w:val="0"/>
                                                                                      <w:marTop w:val="0"/>
                                                                                      <w:marBottom w:val="0"/>
                                                                                      <w:divBdr>
                                                                                        <w:top w:val="none" w:sz="0" w:space="0" w:color="auto"/>
                                                                                        <w:left w:val="none" w:sz="0" w:space="0" w:color="auto"/>
                                                                                        <w:bottom w:val="none" w:sz="0" w:space="0" w:color="auto"/>
                                                                                        <w:right w:val="none" w:sz="0" w:space="0" w:color="auto"/>
                                                                                      </w:divBdr>
                                                                                      <w:divsChild>
                                                                                        <w:div w:id="16164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256862">
      <w:bodyDiv w:val="1"/>
      <w:marLeft w:val="0"/>
      <w:marRight w:val="0"/>
      <w:marTop w:val="0"/>
      <w:marBottom w:val="0"/>
      <w:divBdr>
        <w:top w:val="none" w:sz="0" w:space="0" w:color="auto"/>
        <w:left w:val="none" w:sz="0" w:space="0" w:color="auto"/>
        <w:bottom w:val="none" w:sz="0" w:space="0" w:color="auto"/>
        <w:right w:val="none" w:sz="0" w:space="0" w:color="auto"/>
      </w:divBdr>
    </w:div>
    <w:div w:id="1034883353">
      <w:bodyDiv w:val="1"/>
      <w:marLeft w:val="0"/>
      <w:marRight w:val="0"/>
      <w:marTop w:val="0"/>
      <w:marBottom w:val="0"/>
      <w:divBdr>
        <w:top w:val="none" w:sz="0" w:space="0" w:color="auto"/>
        <w:left w:val="none" w:sz="0" w:space="0" w:color="auto"/>
        <w:bottom w:val="none" w:sz="0" w:space="0" w:color="auto"/>
        <w:right w:val="none" w:sz="0" w:space="0" w:color="auto"/>
      </w:divBdr>
    </w:div>
    <w:div w:id="1421221285">
      <w:bodyDiv w:val="1"/>
      <w:marLeft w:val="0"/>
      <w:marRight w:val="0"/>
      <w:marTop w:val="0"/>
      <w:marBottom w:val="0"/>
      <w:divBdr>
        <w:top w:val="none" w:sz="0" w:space="0" w:color="auto"/>
        <w:left w:val="none" w:sz="0" w:space="0" w:color="auto"/>
        <w:bottom w:val="none" w:sz="0" w:space="0" w:color="auto"/>
        <w:right w:val="none" w:sz="0" w:space="0" w:color="auto"/>
      </w:divBdr>
    </w:div>
    <w:div w:id="1480264797">
      <w:bodyDiv w:val="1"/>
      <w:marLeft w:val="0"/>
      <w:marRight w:val="0"/>
      <w:marTop w:val="0"/>
      <w:marBottom w:val="0"/>
      <w:divBdr>
        <w:top w:val="none" w:sz="0" w:space="0" w:color="auto"/>
        <w:left w:val="none" w:sz="0" w:space="0" w:color="auto"/>
        <w:bottom w:val="none" w:sz="0" w:space="0" w:color="auto"/>
        <w:right w:val="none" w:sz="0" w:space="0" w:color="auto"/>
      </w:divBdr>
      <w:divsChild>
        <w:div w:id="1052536485">
          <w:marLeft w:val="274"/>
          <w:marRight w:val="0"/>
          <w:marTop w:val="0"/>
          <w:marBottom w:val="102"/>
          <w:divBdr>
            <w:top w:val="none" w:sz="0" w:space="0" w:color="auto"/>
            <w:left w:val="none" w:sz="0" w:space="0" w:color="auto"/>
            <w:bottom w:val="none" w:sz="0" w:space="0" w:color="auto"/>
            <w:right w:val="none" w:sz="0" w:space="0" w:color="auto"/>
          </w:divBdr>
        </w:div>
      </w:divsChild>
    </w:div>
    <w:div w:id="1510023751">
      <w:bodyDiv w:val="1"/>
      <w:marLeft w:val="0"/>
      <w:marRight w:val="0"/>
      <w:marTop w:val="0"/>
      <w:marBottom w:val="0"/>
      <w:divBdr>
        <w:top w:val="none" w:sz="0" w:space="0" w:color="auto"/>
        <w:left w:val="none" w:sz="0" w:space="0" w:color="auto"/>
        <w:bottom w:val="none" w:sz="0" w:space="0" w:color="auto"/>
        <w:right w:val="none" w:sz="0" w:space="0" w:color="auto"/>
      </w:divBdr>
    </w:div>
    <w:div w:id="1599481715">
      <w:bodyDiv w:val="1"/>
      <w:marLeft w:val="0"/>
      <w:marRight w:val="0"/>
      <w:marTop w:val="0"/>
      <w:marBottom w:val="0"/>
      <w:divBdr>
        <w:top w:val="none" w:sz="0" w:space="0" w:color="auto"/>
        <w:left w:val="none" w:sz="0" w:space="0" w:color="auto"/>
        <w:bottom w:val="none" w:sz="0" w:space="0" w:color="auto"/>
        <w:right w:val="none" w:sz="0" w:space="0" w:color="auto"/>
      </w:divBdr>
    </w:div>
    <w:div w:id="2107260952">
      <w:bodyDiv w:val="1"/>
      <w:marLeft w:val="0"/>
      <w:marRight w:val="0"/>
      <w:marTop w:val="0"/>
      <w:marBottom w:val="0"/>
      <w:divBdr>
        <w:top w:val="none" w:sz="0" w:space="0" w:color="auto"/>
        <w:left w:val="none" w:sz="0" w:space="0" w:color="auto"/>
        <w:bottom w:val="none" w:sz="0" w:space="0" w:color="auto"/>
        <w:right w:val="none" w:sz="0" w:space="0" w:color="auto"/>
      </w:divBdr>
    </w:div>
    <w:div w:id="2134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E227E446-36A9-4850-979E-A35F25D3E8A7}">
  <ds:schemaRefs>
    <ds:schemaRef ds:uri="http://schemas.openxmlformats.org/officeDocument/2006/bibliography"/>
  </ds:schemaRefs>
</ds:datastoreItem>
</file>

<file path=customXml/itemProps2.xml><?xml version="1.0" encoding="utf-8"?>
<ds:datastoreItem xmlns:ds="http://schemas.openxmlformats.org/officeDocument/2006/customXml" ds:itemID="{8FF5E751-8120-47CE-A843-2313201FD0C6}"/>
</file>

<file path=customXml/itemProps3.xml><?xml version="1.0" encoding="utf-8"?>
<ds:datastoreItem xmlns:ds="http://schemas.openxmlformats.org/officeDocument/2006/customXml" ds:itemID="{32CB51DD-EA5F-4D76-BBA7-F3910F72EB55}"/>
</file>

<file path=customXml/itemProps4.xml><?xml version="1.0" encoding="utf-8"?>
<ds:datastoreItem xmlns:ds="http://schemas.openxmlformats.org/officeDocument/2006/customXml" ds:itemID="{F0FBDEDE-FBC8-49F0-9DAC-A6EDCACC1927}"/>
</file>

<file path=docProps/app.xml><?xml version="1.0" encoding="utf-8"?>
<Properties xmlns="http://schemas.openxmlformats.org/officeDocument/2006/extended-properties" xmlns:vt="http://schemas.openxmlformats.org/officeDocument/2006/docPropsVTypes">
  <Template>Normal.dotm</Template>
  <TotalTime>0</TotalTime>
  <Pages>19</Pages>
  <Words>5156</Words>
  <Characters>29395</Characters>
  <Application>Microsoft Office Word</Application>
  <DocSecurity>0</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Aberdeen Asset Management</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teruya</dc:creator>
  <cp:lastModifiedBy>Bianca Nicolau</cp:lastModifiedBy>
  <cp:revision>4</cp:revision>
  <cp:lastPrinted>2023-01-12T21:07:00Z</cp:lastPrinted>
  <dcterms:created xsi:type="dcterms:W3CDTF">2023-01-11T12:43:00Z</dcterms:created>
  <dcterms:modified xsi:type="dcterms:W3CDTF">2023-01-12T21:08:00Z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_dlc_Holds_Property">
    <vt:lpwstr>;#[local]/Lists/Holds/2;#</vt:lpwstr>
  </property>
  <property fmtid="{D5CDD505-2E9C-101B-9397-08002B2CF9AE}" pid="4" name="ecm_ItemDeleteBlockHolders">
    <vt:lpwstr>_dlc_holds_lock</vt:lpwstr>
  </property>
  <property fmtid="{D5CDD505-2E9C-101B-9397-08002B2CF9AE}" pid="5" name="ecm_ItemLockHolders">
    <vt:lpwstr>_dlc_holds_lock</vt:lpwstr>
  </property>
</Properties>
</file>